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8E6A2D"/>
          <w:sz w:val="20"/>
        </w:rPr>
        <w:t>SET THE TRUTH</w:t>
      </w:r>
    </w:p>
    <w:p>
      <w:pPr>
        <w:pStyle w:val="Title"/>
        <w:jc w:val="center"/>
      </w:pPr>
      <w:r>
        <w:t>Set Before Osiris</w:t>
      </w:r>
    </w:p>
    <w:p>
      <w:pPr>
        <w:pStyle w:val="Subtitle"/>
        <w:jc w:val="center"/>
      </w:pPr>
      <w:r>
        <w:t>Chronology, kingship, and funerary function in early Egyptian religion</w:t>
      </w:r>
    </w:p>
    <w:p/>
    <w:p>
      <w:pPr>
        <w:jc w:val="center"/>
      </w:pPr>
      <w:r>
        <w:rPr>
          <w:b/>
          <w:color w:val="9B3A2E"/>
          <w:sz w:val="18"/>
        </w:rPr>
        <w:t>WORKING PAPER · NOT PEER REVIEWED</w:t>
      </w:r>
    </w:p>
    <w:p>
      <w:pPr>
        <w:jc w:val="center"/>
      </w:pPr>
      <w:r>
        <w:t>Version 0.2 · 6 September 2026</w:t>
      </w:r>
    </w:p>
    <w:p>
      <w:pPr>
        <w:jc w:val="center"/>
      </w:pPr>
      <w:r>
        <w:t>Set the Truth Research Project · setthetruth.org</w:t>
      </w:r>
    </w:p>
    <w:p>
      <w:r>
        <w:br w:type="page"/>
      </w:r>
    </w:p>
    <w:p>
      <w:pPr>
        <w:pStyle w:val="Heading1"/>
      </w:pPr>
      <w:r>
        <w:t>Abstract</w:t>
      </w:r>
    </w:p>
    <w:p>
      <w:r>
        <w:t>This paper reassesses Set by applying a strict chronological method. It begins from evidence securely earlier than the fully developed Osirian family narrative and asks which functions of Set are visible before later demonizing interpretations are projected backward. The oldest royal titulary is Horian, yet the Second-Dynasty evidence of Peribsen and Khasekhemwy demonstrates that Set could occupy the highest register of royal ideology long before the first secure evidence for Osiris. By the Fifth and Sixth Dynasties, the Pyramid Texts preserve a heterogeneous corpus in which Set can be rival, defeated figure, aggressor, royal power, and auxiliary. The paper argues that this polyvalence is historically significant. It does not prove that all hostile traditions are late inventions, but it prevents the equation 'Set = primordial evil' from serving as a historical starting point. The more defensible model is a sequence in which an older Horus–Set structure was progressively incorporated into an Osirian genealogy and later moralized.</w:t>
      </w:r>
    </w:p>
    <w:p>
      <w:r>
        <w:rPr>
          <w:b/>
        </w:rPr>
        <w:t xml:space="preserve">Keywords: </w:t>
      </w:r>
      <w:r>
        <w:t>Set, Seth, Horus, Osiris, Pyramid Texts, royal titulary, textual stratigraphy, Old Kingdom</w:t>
      </w:r>
    </w:p>
    <w:p>
      <w:pPr>
        <w:pStyle w:val="Heading1"/>
      </w:pPr>
      <w:r>
        <w:t>Evidence levels</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Pr>
          <w:p>
            <w:r>
              <w:rPr>
                <w:b/>
              </w:rPr>
              <w:t>Level</w:t>
            </w:r>
          </w:p>
        </w:tc>
        <w:tc>
          <w:tcPr>
            <w:tcW w:type="dxa" w:w="4939"/>
            <w:vAlign w:val="center"/>
          </w:tcPr>
          <w:p>
            <w:r>
              <w:rPr>
                <w:b/>
              </w:rPr>
              <w:t>Meaning</w:t>
            </w:r>
          </w:p>
        </w:tc>
      </w:tr>
      <w:tr>
        <w:tc>
          <w:tcPr>
            <w:tcW w:type="dxa" w:w="4939"/>
            <w:vAlign w:val="center"/>
          </w:tcPr>
          <w:p>
            <w:r>
              <w:t>A — Attested</w:t>
            </w:r>
          </w:p>
        </w:tc>
        <w:tc>
          <w:tcPr>
            <w:tcW w:type="dxa" w:w="4939"/>
            <w:vAlign w:val="center"/>
          </w:tcPr>
          <w:p>
            <w:r>
              <w:t>Primary text/object or a defensible descriptive statement directly supported by specialist scholarship.</w:t>
            </w:r>
          </w:p>
        </w:tc>
      </w:tr>
      <w:tr>
        <w:tc>
          <w:tcPr>
            <w:tcW w:type="dxa" w:w="4939"/>
            <w:vAlign w:val="center"/>
          </w:tcPr>
          <w:p>
            <w:r>
              <w:t>B — Reconstruction</w:t>
            </w:r>
          </w:p>
        </w:tc>
        <w:tc>
          <w:tcPr>
            <w:tcW w:type="dxa" w:w="4939"/>
            <w:vAlign w:val="center"/>
          </w:tcPr>
          <w:p>
            <w:r>
              <w:t>Historical inference from chronology, textual stratigraphy, comparison, or institutional context.</w:t>
            </w:r>
          </w:p>
        </w:tc>
      </w:tr>
      <w:tr>
        <w:tc>
          <w:tcPr>
            <w:tcW w:type="dxa" w:w="4939"/>
            <w:vAlign w:val="center"/>
          </w:tcPr>
          <w:p>
            <w:r>
              <w:t>C — Hypothesis</w:t>
            </w:r>
          </w:p>
        </w:tc>
        <w:tc>
          <w:tcPr>
            <w:tcW w:type="dxa" w:w="4939"/>
            <w:vAlign w:val="center"/>
          </w:tcPr>
          <w:p>
            <w:r>
              <w:t>Cosmological/metaphysical extension. Never used to establish an A-level historical claim.</w:t>
            </w:r>
          </w:p>
        </w:tc>
      </w:tr>
    </w:tbl>
    <w:p>
      <w:pPr>
        <w:pStyle w:val="EvidenceB"/>
      </w:pPr>
      <w:r>
        <w:t>The central methodological rule is chronological: later coherent myths are not treated as automatic descriptions of the earliest recoverable system.</w:t>
      </w:r>
    </w:p>
    <w:p>
      <w:pPr>
        <w:pStyle w:val="Heading1"/>
      </w:pPr>
      <w:r>
        <w:t>1. Research question</w:t>
      </w:r>
    </w:p>
    <w:p>
      <w:r>
        <w:t>Modern summaries frequently introduce Set through the murder of Osiris and the subsequent conflict with Horus. That narrative is indispensable for later Egyptian religion, but it creates a chronological hazard: the narrative can be made to function as the explanation of evidence that predates its secure attestation. The question of this paper is therefore not whether Egyptians ever viewed Set as an aggressor. They certainly did. The question is whether that role is the earliest recoverable definition of the god.</w:t>
      </w:r>
    </w:p>
    <w:p>
      <w:r>
        <w:t>The answer matters because ancient Egyptian religion is not a single synchronically consistent system. Gods, epithets, local cults, royal ideologies and mortuary texts changed over millennia. A deity can acquire new genealogies and moral valences without losing every older function. The correct historical unit is therefore not 'Set' in the abstract, but Set in a specific period, textual layer and institutional context.</w:t>
      </w:r>
    </w:p>
    <w:p>
      <w:pPr>
        <w:pStyle w:val="Heading1"/>
      </w:pPr>
      <w:r>
        <w:t>2. Chronological anchors before Osiris</w:t>
      </w:r>
    </w:p>
    <w:p>
      <w:pPr>
        <w:pStyle w:val="Heading2"/>
      </w:pPr>
      <w:r>
        <w:t>2.1 Horus and the earliest royal name</w:t>
      </w:r>
    </w:p>
    <w:p>
      <w:r>
        <w:t>UCL Digital Egypt describes the Horus name as the oldest attested name/title of Egyptian kings. The serekh frames the royal name beneath the Horus falcon and belongs to the formation of Egyptian kingship itself. This provides an early anchor for Horus independent of the later role 'son of Osiris'. Horus is not introduced into Egyptian religion by the Osirian family narrative; that narrative reuses an already central royal god.</w:t>
      </w:r>
    </w:p>
    <w:p>
      <w:pPr>
        <w:pStyle w:val="Heading2"/>
      </w:pPr>
      <w:r>
        <w:t>2.2 Peribsen and Khasekhemwy</w:t>
      </w:r>
    </w:p>
    <w:p>
      <w:r>
        <w:t>The Second Dynasty provides equally important evidence for Set. Peribsen replaced the usual Horus falcon above the serekh with the Seth animal. The British Museum stela EA35597 preserves the royal serekh surmounted by Set; UCL further notes that Khasekhemwy later displayed both the Seth animal and Horus falcon. Whatever political circumstances produced these exceptional titulary choices, they demonstrate that Set could be installed at the summit of royal representation centuries before the first secure evidence for Osiris.</w:t>
      </w:r>
    </w:p>
    <w:p>
      <w:pPr>
        <w:pStyle w:val="EvidenceA"/>
      </w:pPr>
      <w:r>
        <w:t>This evidence does not prove a simple constitutional dualism between Horus and Set, and it should not be reduced automatically to 'Upper Egypt versus Lower Egypt'. It does establish something narrower and firmer: Set was compatible with legitimate kingship. A historical account that treats him as an originally anti-royal or intrinsically demonic figure cannot explain Peribsen without adding a special exception to the theory.</w:t>
      </w:r>
    </w:p>
    <w:p>
      <w:pPr>
        <w:pStyle w:val="Heading1"/>
      </w:pPr>
      <w:r>
        <w:t>3. The Fifth-Dynasty threshold</w:t>
      </w:r>
    </w:p>
    <w:p>
      <w:r>
        <w:t>Mark Smith's Following Osiris identifies the Fifth Dynasty as the period of the earliest secure evidence for belief in Osiris. The Metropolitan Museum similarly describes the end of Dynasty 5 as a moment when the cult of the 'new god Osiris' had gained momentum, while solar and stellar materials remained present in the funerary sphere. This is a crucial asymmetry: Horus and Set are documented within royal ideology earlier than the secure Osirian record.</w:t>
      </w:r>
    </w:p>
    <w:p>
      <w:pPr>
        <w:pStyle w:val="EvidenceB"/>
      </w:pPr>
      <w:r>
        <w:t>The asymmetry does not demonstrate that Osiris did not exist orally or locally before Dynasty 5. Absence of secure evidence is not proof of absence. It does, however, shift the burden of proof. If a later genealogy is used to interpret earlier Horus–Set material, that use must be argued rather than assumed.</w:t>
      </w:r>
    </w:p>
    <w:p>
      <w:pPr>
        <w:pStyle w:val="Heading1"/>
      </w:pPr>
      <w:r>
        <w:t>4. Set in the Pyramid Texts: a polyvalent figure</w:t>
      </w:r>
    </w:p>
    <w:p>
      <w:r>
        <w:t>The Pyramid Texts are the earliest large corpus of Egyptian religious writing, but they are not a single-authored theological treatise. They preserve rituals and formulations that vary by pyramid, reign, spatial placement and textual history. James P. Allen's edition makes this plurality visible by presenting the texts in their architectural and royal contexts.</w:t>
      </w:r>
    </w:p>
    <w:p>
      <w:r>
        <w:t>Within this corpus Set cannot be reduced to one role. Hostile passages are real: Set is implicated in the injury or death of Osiris and is overcome or constrained in Osirian sequences. Yet other passages preserve Set as a necessary royal or cosmic power. The corpus contains a spell explicitly headed 'Greeting Horus and Seth'; other passages coordinate the two gods, invoke Set's strength, or preserve him within the machinery of royal transformation. Philip Turner's systematic study emphasizes this fluctuation and draws attention to passages where Set is not simply the villain of the Osirian story.</w:t>
      </w:r>
    </w:p>
    <w:p>
      <w:pPr>
        <w:pStyle w:val="Heading2"/>
      </w:pPr>
      <w:r>
        <w:t>4.1 Rivalry is not identical with evil</w:t>
      </w:r>
    </w:p>
    <w:p>
      <w:r>
        <w:t>Conflict between Horus and Set can be represented through reciprocal injury and litigation. Such material is structurally different from a one-directional moral story in which a criminal attacks an innocent victim. Rivalry, partition, reconciliation and integration into kingship are all possible meanings of the Horus–Set pair. The later genealogy in which Horus is the son of Osiris and Set the paternal uncle supplies a new explanation for an already existing antagonism.</w:t>
      </w:r>
    </w:p>
    <w:p>
      <w:pPr>
        <w:pStyle w:val="Heading2"/>
      </w:pPr>
      <w:r>
        <w:t>4.2 Auxiliary and ascent functions</w:t>
      </w:r>
    </w:p>
    <w:p>
      <w:r>
        <w:t>The royal mortuary corpus also contains positive or auxiliary Set material. Allen's arrangement includes sky-ascent sequences in which Horus and Set appear within the same ritual field. Turner catalogues numerous positive attestations across the Pyramid and Coffin Text traditions, including protection, strength and assistance. These passages are especially important methodologically: they are residues that a theory of primordial demonic Set must either dismiss or reinterpret, whereas a stratigraphic model expects such coexistence.</w:t>
      </w:r>
    </w:p>
    <w:p>
      <w:pPr>
        <w:pStyle w:val="Heading1"/>
      </w:pPr>
      <w:r>
        <w:t>5. From Horus–Set to the Osirian family</w:t>
      </w:r>
    </w:p>
    <w:p>
      <w:r>
        <w:t>Bernard Mathieu's studies offer a particularly explicit model of theological development. His analysis of more than nine hundred Horus attestations in the Pyramid Texts traces a range of referents from an archaic Horus of Hierakonpolis to the elaboration of Horus the child and heir of his father Osiris. His study of Set likewise emphasizes a polymorphic deity: rival, defeated figure and auxiliary. In his study of Osiris, Mathieu goes further and proposes that the Osirian figure and theology were introduced and diffused through institutions with significant political implications.</w:t>
      </w:r>
    </w:p>
    <w:p>
      <w:pPr>
        <w:pStyle w:val="EvidenceB"/>
      </w:pPr>
      <w:r>
        <w:t>One need not accept every element of Mathieu's reconstruction to recognize the historical consequence: 'Horus son of Osiris' is itself a development that requires explanation. It cannot automatically be made the original identity of Horus. Once Horus is inserted into the Osirian succession, Set's old rivalry with Horus can be genealogically recoded: the rival becomes the uncle who attacked the father, and the conflict becomes an inheritance dispute with an already moralized direction.</w:t>
      </w:r>
    </w:p>
    <w:p>
      <w:pPr>
        <w:pStyle w:val="Heading1"/>
      </w:pPr>
      <w:r>
        <w:t>6. Demonization is late, uneven, and reversible</w:t>
      </w:r>
    </w:p>
    <w:p>
      <w:r>
        <w:t>Set's later history confirms the danger of treating a single period as timeless. His prestige rises again in the eastern Delta and under rulers whose names and royal ideology incorporate Seth, especially in the Ramesside world. Later periods also witness increasingly hostile treatments and erasures. Turner accordingly describes rises, falls and regional persistence rather than a simple linear descent from good to evil.</w:t>
      </w:r>
    </w:p>
    <w:p>
      <w:r>
        <w:t>The historical proposition should therefore be formulated negatively and positively. Negatively: 'Set was the Egyptian god of evil from the beginning' is not an adequate historical description. Positively: Set was an ancient royal and cosmic deity whose roles were repeatedly reinterpreted, and whose later Osirian hostility represents one powerful layer in a much longer history.</w:t>
      </w:r>
    </w:p>
    <w:p>
      <w:pPr>
        <w:pStyle w:val="Heading1"/>
      </w:pPr>
      <w:r>
        <w:t>Evidence matrix</w:t>
      </w:r>
    </w:p>
    <w:tbl>
      <w:tblPr>
        <w:tblStyle w:val="TableGrid"/>
        <w:tblW w:type="auto" w:w="0"/>
        <w:jc w:val="center"/>
        <w:tblLook w:firstColumn="1" w:firstRow="1" w:lastColumn="0" w:lastRow="0" w:noHBand="0" w:noVBand="1" w:val="04A0"/>
      </w:tblPr>
      <w:tblGrid>
        <w:gridCol w:w="2469"/>
        <w:gridCol w:w="2469"/>
        <w:gridCol w:w="2469"/>
        <w:gridCol w:w="2469"/>
      </w:tblGrid>
      <w:tr>
        <w:trPr>
          <w:cantSplit/>
          <w:tblHeader w:val="true"/>
        </w:trPr>
        <w:tc>
          <w:tcPr>
            <w:tcW w:type="dxa" w:w="2469"/>
            <w:vAlign w:val="top"/>
          </w:tcPr>
          <w:p>
            <w:r>
              <w:t>Proposition</w:t>
            </w:r>
          </w:p>
        </w:tc>
        <w:tc>
          <w:tcPr>
            <w:tcW w:type="dxa" w:w="2469"/>
            <w:vAlign w:val="top"/>
          </w:tcPr>
          <w:p>
            <w:r>
              <w:t>Level</w:t>
            </w:r>
          </w:p>
        </w:tc>
        <w:tc>
          <w:tcPr>
            <w:tcW w:type="dxa" w:w="2469"/>
            <w:vAlign w:val="top"/>
          </w:tcPr>
          <w:p>
            <w:r>
              <w:t>Basis</w:t>
            </w:r>
          </w:p>
        </w:tc>
        <w:tc>
          <w:tcPr>
            <w:tcW w:type="dxa" w:w="2469"/>
            <w:vAlign w:val="top"/>
          </w:tcPr>
          <w:p>
            <w:r>
              <w:t>Caution</w:t>
            </w:r>
          </w:p>
        </w:tc>
      </w:tr>
      <w:tr>
        <w:trPr>
          <w:cantSplit/>
        </w:trPr>
        <w:tc>
          <w:tcPr>
            <w:tcW w:type="dxa" w:w="2469"/>
            <w:vAlign w:val="top"/>
          </w:tcPr>
          <w:p>
            <w:r>
              <w:t>Horus is embedded in the earliest royal titulary</w:t>
            </w:r>
          </w:p>
        </w:tc>
        <w:tc>
          <w:tcPr>
            <w:tcW w:type="dxa" w:w="2469"/>
            <w:vAlign w:val="top"/>
          </w:tcPr>
          <w:p>
            <w:r>
              <w:t>A</w:t>
            </w:r>
          </w:p>
        </w:tc>
        <w:tc>
          <w:tcPr>
            <w:tcW w:type="dxa" w:w="2469"/>
            <w:vAlign w:val="top"/>
          </w:tcPr>
          <w:p>
            <w:r>
              <w:t>UCL Digital Egypt; Leprohon</w:t>
            </w:r>
          </w:p>
        </w:tc>
        <w:tc>
          <w:tcPr>
            <w:tcW w:type="dxa" w:w="2469"/>
            <w:vAlign w:val="top"/>
          </w:tcPr>
          <w:p>
            <w:r>
              <w:t>Does not define all theological meanings of Horus.</w:t>
            </w:r>
          </w:p>
        </w:tc>
      </w:tr>
      <w:tr>
        <w:trPr>
          <w:cantSplit/>
        </w:trPr>
        <w:tc>
          <w:tcPr>
            <w:tcW w:type="dxa" w:w="2469"/>
            <w:vAlign w:val="top"/>
          </w:tcPr>
          <w:p>
            <w:r>
              <w:t>Set can occupy royal titulary in Dynasty 2</w:t>
            </w:r>
          </w:p>
        </w:tc>
        <w:tc>
          <w:tcPr>
            <w:tcW w:type="dxa" w:w="2469"/>
            <w:vAlign w:val="top"/>
          </w:tcPr>
          <w:p>
            <w:r>
              <w:t>A</w:t>
            </w:r>
          </w:p>
        </w:tc>
        <w:tc>
          <w:tcPr>
            <w:tcW w:type="dxa" w:w="2469"/>
            <w:vAlign w:val="top"/>
          </w:tcPr>
          <w:p>
            <w:r>
              <w:t>Peribsen stela; UCL; British Museum</w:t>
            </w:r>
          </w:p>
        </w:tc>
        <w:tc>
          <w:tcPr>
            <w:tcW w:type="dxa" w:w="2469"/>
            <w:vAlign w:val="top"/>
          </w:tcPr>
          <w:p>
            <w:r>
              <w:t>Political meaning remains debated.</w:t>
            </w:r>
          </w:p>
        </w:tc>
      </w:tr>
      <w:tr>
        <w:trPr>
          <w:cantSplit/>
        </w:trPr>
        <w:tc>
          <w:tcPr>
            <w:tcW w:type="dxa" w:w="2469"/>
            <w:vAlign w:val="top"/>
          </w:tcPr>
          <w:p>
            <w:r>
              <w:t>Earliest secure evidence for Osiris is Dynasty 5</w:t>
            </w:r>
          </w:p>
        </w:tc>
        <w:tc>
          <w:tcPr>
            <w:tcW w:type="dxa" w:w="2469"/>
            <w:vAlign w:val="top"/>
          </w:tcPr>
          <w:p>
            <w:r>
              <w:t>A</w:t>
            </w:r>
          </w:p>
        </w:tc>
        <w:tc>
          <w:tcPr>
            <w:tcW w:type="dxa" w:w="2469"/>
            <w:vAlign w:val="top"/>
          </w:tcPr>
          <w:p>
            <w:r>
              <w:t>Smith 2017</w:t>
            </w:r>
          </w:p>
        </w:tc>
        <w:tc>
          <w:tcPr>
            <w:tcW w:type="dxa" w:w="2469"/>
            <w:vAlign w:val="top"/>
          </w:tcPr>
          <w:p>
            <w:r>
              <w:t>Does not prove Osiris was wholly absent earlier.</w:t>
            </w:r>
          </w:p>
        </w:tc>
      </w:tr>
      <w:tr>
        <w:trPr>
          <w:cantSplit/>
        </w:trPr>
        <w:tc>
          <w:tcPr>
            <w:tcW w:type="dxa" w:w="2469"/>
            <w:vAlign w:val="top"/>
          </w:tcPr>
          <w:p>
            <w:r>
              <w:t>Set has positive/auxiliary functions in early mortuary texts</w:t>
            </w:r>
          </w:p>
        </w:tc>
        <w:tc>
          <w:tcPr>
            <w:tcW w:type="dxa" w:w="2469"/>
            <w:vAlign w:val="top"/>
          </w:tcPr>
          <w:p>
            <w:r>
              <w:t>A</w:t>
            </w:r>
          </w:p>
        </w:tc>
        <w:tc>
          <w:tcPr>
            <w:tcW w:type="dxa" w:w="2469"/>
            <w:vAlign w:val="top"/>
          </w:tcPr>
          <w:p>
            <w:r>
              <w:t>Allen; Turner; Mathieu</w:t>
            </w:r>
          </w:p>
        </w:tc>
        <w:tc>
          <w:tcPr>
            <w:tcW w:type="dxa" w:w="2469"/>
            <w:vAlign w:val="top"/>
          </w:tcPr>
          <w:p>
            <w:r>
              <w:t>Positive and hostile passages coexist.</w:t>
            </w:r>
          </w:p>
        </w:tc>
      </w:tr>
      <w:tr>
        <w:trPr>
          <w:cantSplit/>
        </w:trPr>
        <w:tc>
          <w:tcPr>
            <w:tcW w:type="dxa" w:w="2469"/>
            <w:vAlign w:val="top"/>
          </w:tcPr>
          <w:p>
            <w:r>
              <w:t>Older Horus–Set material was incorporated into an Osirian genealogy</w:t>
            </w:r>
          </w:p>
        </w:tc>
        <w:tc>
          <w:tcPr>
            <w:tcW w:type="dxa" w:w="2469"/>
            <w:vAlign w:val="top"/>
          </w:tcPr>
          <w:p>
            <w:r>
              <w:t>B</w:t>
            </w:r>
          </w:p>
        </w:tc>
        <w:tc>
          <w:tcPr>
            <w:tcW w:type="dxa" w:w="2469"/>
            <w:vAlign w:val="top"/>
          </w:tcPr>
          <w:p>
            <w:r>
              <w:t>Chronology + Mathieu 2010–2013</w:t>
            </w:r>
          </w:p>
        </w:tc>
        <w:tc>
          <w:tcPr>
            <w:tcW w:type="dxa" w:w="2469"/>
            <w:vAlign w:val="top"/>
          </w:tcPr>
          <w:p>
            <w:r>
              <w:t>Mechanism and degree of intentionality remain debated.</w:t>
            </w:r>
          </w:p>
        </w:tc>
      </w:tr>
      <w:tr>
        <w:trPr>
          <w:cantSplit/>
        </w:trPr>
        <w:tc>
          <w:tcPr>
            <w:tcW w:type="dxa" w:w="2469"/>
            <w:vAlign w:val="top"/>
          </w:tcPr>
          <w:p>
            <w:r>
              <w:t>Set was originally a moral equivalent of “good”</w:t>
            </w:r>
          </w:p>
        </w:tc>
        <w:tc>
          <w:tcPr>
            <w:tcW w:type="dxa" w:w="2469"/>
            <w:vAlign w:val="top"/>
          </w:tcPr>
          <w:p>
            <w:r>
              <w:t>Unsupported</w:t>
            </w:r>
          </w:p>
        </w:tc>
        <w:tc>
          <w:tcPr>
            <w:tcW w:type="dxa" w:w="2469"/>
            <w:vAlign w:val="top"/>
          </w:tcPr>
          <w:p>
            <w:r>
              <w:t>No direct evidence</w:t>
            </w:r>
          </w:p>
        </w:tc>
        <w:tc>
          <w:tcPr>
            <w:tcW w:type="dxa" w:w="2469"/>
            <w:vAlign w:val="top"/>
          </w:tcPr>
          <w:p>
            <w:r>
              <w:t>The paper does not make this claim.</w:t>
            </w:r>
          </w:p>
        </w:tc>
      </w:tr>
    </w:tbl>
    <w:p>
      <w:pPr>
        <w:pStyle w:val="Heading1"/>
      </w:pPr>
      <w:r>
        <w:t>7. Objections and alternative explanations</w:t>
      </w:r>
    </w:p>
    <w:p>
      <w:r>
        <w:t>A first objection is that the Pyramid Texts themselves already contain Osirian hostility toward Set; therefore, one might argue, there is no recoverable 'pre-Osirian Set' in the textual corpus. The response is that the argument is chronological rather than textual-purist: early royal evidence predates the corpus, and the corpus itself contains incompatible Set functions. The coexistence of hostile and auxiliary roles is precisely what stratigraphic interpretation seeks to explain.</w:t>
      </w:r>
    </w:p>
    <w:p>
      <w:r>
        <w:t>A second objection is local theology. Egyptian gods could have different family relations and functions in different cult centers without any centrally directed 'rewrite'. This is a serious alternative and must remain in the model. The website and papers therefore use 'reconfiguration' more readily than 'falsification'. A claim of deliberate rewriting requires institutional and political evidence beyond contradiction alone.</w:t>
      </w:r>
    </w:p>
    <w:p>
      <w:r>
        <w:t>A third objection concerns retrojection in the opposite direction: the project must not romanticize an earlier Set. Early rivalry, violence and dangerous power may be genuine features of the god. The argument is not that Set was originally benign, but that danger and hostility are not equivalent to the later theological position of murderer, usurper and enemy of an Osirian moral order.</w:t>
      </w:r>
    </w:p>
    <w:p>
      <w:pPr>
        <w:pStyle w:val="Heading1"/>
      </w:pPr>
      <w:r>
        <w:t>8. Conclusion</w:t>
      </w:r>
    </w:p>
    <w:p>
      <w:r>
        <w:t>The chronological record supports a substantial revision of popular narratives about Set. Horus and Set belong to the architecture of kingship before Osiris becomes securely visible. The Pyramid Texts then preserve a layered environment in which the emerging Osirian framework coexists with older royal, solar, stellar and Horus–Set formulations. Set remains too functionally diverse to be explained as an originally demonic outsider. The strongest historical thesis is therefore one of reconfiguration: an ancient royal and cosmic deity was progressively recoded within an Osirian genealogy and, in later contexts, increasingly moralized and demonized.</w:t>
      </w:r>
    </w:p>
    <w:p>
      <w:pPr>
        <w:pStyle w:val="Heading1"/>
      </w:pPr>
      <w:r>
        <w:t>Bibliography and research links</w:t>
      </w:r>
    </w:p>
    <w:p>
      <w:pPr>
        <w:ind w:hanging="317" w:left="317"/>
      </w:pPr>
      <w:r>
        <w:rPr>
          <w:b/>
        </w:rPr>
        <w:t xml:space="preserve">Allen, James P.. </w:t>
      </w:r>
      <w:r>
        <w:t>The Ancient Egyptian Pyramid Texts, 2nd ed.. Atlanta: SBL Press, 2015.</w:t>
      </w:r>
    </w:p>
    <w:p>
      <w:pPr>
        <w:ind w:hanging="317" w:left="317"/>
      </w:pPr>
      <w:r>
        <w:rPr>
          <w:b/>
        </w:rPr>
        <w:t xml:space="preserve">British Museum. </w:t>
      </w:r>
      <w:r>
        <w:t>Stela of Peribsen, EA35597. Collection record; 2nd Dynasty; serekh surmounted by the Seth animal.</w:t>
      </w:r>
    </w:p>
    <w:p>
      <w:pPr>
        <w:ind w:hanging="317" w:left="317"/>
      </w:pPr>
      <w:r>
        <w:rPr>
          <w:b/>
        </w:rPr>
        <w:t xml:space="preserve">Gracia Zamacona, Carlos. </w:t>
      </w:r>
      <w:r>
        <w:t>Los Textos de los Ataúdes del Egipto antiguo: Variabilidad, legitimación y diálogo. Atlanta: SBL Press, 2024.</w:t>
      </w:r>
    </w:p>
    <w:p>
      <w:pPr>
        <w:ind w:hanging="317" w:left="317"/>
      </w:pPr>
      <w:r>
        <w:rPr>
          <w:b/>
        </w:rPr>
        <w:t xml:space="preserve">Leprohon, Ronald J.. </w:t>
      </w:r>
      <w:r>
        <w:t>The Great Name: Ancient Egyptian Royal Titulary. Atlanta: SBL Press, 2013.</w:t>
      </w:r>
    </w:p>
    <w:p>
      <w:pPr>
        <w:ind w:hanging="317" w:left="317"/>
      </w:pPr>
      <w:r>
        <w:rPr>
          <w:b/>
        </w:rPr>
        <w:t xml:space="preserve">Mathieu, Bernard. </w:t>
      </w:r>
      <w:r>
        <w:t>Mais qui est donc Osiris ? Ou la politique sous le linceul de la religion. ENiM 3 (2010): 77–107.</w:t>
      </w:r>
    </w:p>
    <w:p>
      <w:pPr>
        <w:ind w:hanging="317" w:left="317"/>
      </w:pPr>
      <w:r>
        <w:rPr>
          <w:b/>
        </w:rPr>
        <w:t xml:space="preserve">Mathieu, Bernard. </w:t>
      </w:r>
      <w:r>
        <w:t>Seth polymorphe : le rival, le vaincu, l’auxiliaire. ENiM 4 (2011): 137–158.</w:t>
      </w:r>
    </w:p>
    <w:p>
      <w:pPr>
        <w:ind w:hanging="317" w:left="317"/>
      </w:pPr>
      <w:r>
        <w:rPr>
          <w:b/>
        </w:rPr>
        <w:t xml:space="preserve">Mathieu, Bernard. </w:t>
      </w:r>
      <w:r>
        <w:t>Horus : polysémie et métamorphoses. ENiM 6 (2013): 1–26.</w:t>
      </w:r>
    </w:p>
    <w:p>
      <w:pPr>
        <w:ind w:hanging="317" w:left="317"/>
      </w:pPr>
      <w:r>
        <w:rPr>
          <w:b/>
        </w:rPr>
        <w:t xml:space="preserve">Prakash, Tara. </w:t>
      </w:r>
      <w:r>
        <w:t>Egypt in the Old Kingdom (ca. 2649–2130 B.C.). The Metropolitan Museum of Art, Heilbrunn Timeline of Art History, 2019.</w:t>
      </w:r>
    </w:p>
    <w:p>
      <w:pPr>
        <w:ind w:hanging="317" w:left="317"/>
      </w:pPr>
      <w:r>
        <w:rPr>
          <w:b/>
        </w:rPr>
        <w:t xml:space="preserve">Smith, Mark. </w:t>
      </w:r>
      <w:r>
        <w:t>Following Osiris: Perspectives on the Osirian Afterlife from Four Millennia. Oxford: Oxford University Press, 2017.</w:t>
      </w:r>
    </w:p>
    <w:p>
      <w:pPr>
        <w:ind w:hanging="317" w:left="317"/>
      </w:pPr>
      <w:r>
        <w:rPr>
          <w:b/>
        </w:rPr>
        <w:t xml:space="preserve">Turner, Philip John. </w:t>
      </w:r>
      <w:r>
        <w:t>Seth – A Misrepresented God in the Ancient Egyptian Pantheon?. PhD diss., University of Manchester, 2012.</w:t>
      </w:r>
    </w:p>
    <w:p>
      <w:pPr>
        <w:ind w:hanging="317" w:left="317"/>
      </w:pPr>
      <w:r>
        <w:rPr>
          <w:b/>
        </w:rPr>
        <w:t xml:space="preserve">UCL Digital Egypt. </w:t>
      </w:r>
      <w:r>
        <w:t>The Horus Name. Digital Egypt for Universities, University College London.</w:t>
      </w:r>
    </w:p>
    <w:p>
      <w:pPr>
        <w:ind w:hanging="317" w:left="317"/>
      </w:pPr>
      <w:r>
        <w:rPr>
          <w:b/>
        </w:rPr>
        <w:t xml:space="preserve">UCL Digital Egypt. </w:t>
      </w:r>
      <w:r>
        <w:t>Book of the Dead, Chapter 125A–B. Digital Egypt for Universities, University College London.</w:t>
      </w:r>
    </w:p>
    <w:p>
      <w:pPr>
        <w:pStyle w:val="Heading2"/>
      </w:pPr>
      <w:r>
        <w:t>Online reference points used for verification</w:t>
      </w:r>
    </w:p>
    <w:p>
      <w:hyperlink r:id="rId11">
        <w:r>
          <w:rPr>
            <w:color w:val="8C6B2B"/>
            <w:u w:val="single"/>
          </w:rPr>
          <w:t>Allen — The Ancient Egyptian Pyramid Texts (SBL Press)</w:t>
        </w:r>
      </w:hyperlink>
    </w:p>
    <w:p>
      <w:hyperlink r:id="rId12">
        <w:r>
          <w:rPr>
            <w:color w:val="8C6B2B"/>
            <w:u w:val="single"/>
          </w:rPr>
          <w:t>British Museum — Stela of Peribsen EA35597</w:t>
        </w:r>
      </w:hyperlink>
    </w:p>
    <w:p>
      <w:hyperlink r:id="rId13">
        <w:r>
          <w:rPr>
            <w:color w:val="8C6B2B"/>
            <w:u w:val="single"/>
          </w:rPr>
          <w:t>Gracia Zamacona — Coffin Texts study (SBL Press)</w:t>
        </w:r>
      </w:hyperlink>
    </w:p>
    <w:p>
      <w:hyperlink r:id="rId14">
        <w:r>
          <w:rPr>
            <w:color w:val="8C6B2B"/>
            <w:u w:val="single"/>
          </w:rPr>
          <w:t>Leprohon — The Great Name (SBL Press)</w:t>
        </w:r>
      </w:hyperlink>
    </w:p>
    <w:p>
      <w:hyperlink r:id="rId15">
        <w:r>
          <w:rPr>
            <w:color w:val="8C6B2B"/>
            <w:u w:val="single"/>
          </w:rPr>
          <w:t>Bernard Mathieu — ENiM author page and articles</w:t>
        </w:r>
      </w:hyperlink>
    </w:p>
    <w:p>
      <w:hyperlink r:id="rId16">
        <w:r>
          <w:rPr>
            <w:color w:val="8C6B2B"/>
            <w:u w:val="single"/>
          </w:rPr>
          <w:t>Metropolitan Museum — Egypt in the Old Kingdom</w:t>
        </w:r>
      </w:hyperlink>
    </w:p>
    <w:p>
      <w:hyperlink r:id="rId17">
        <w:r>
          <w:rPr>
            <w:color w:val="8C6B2B"/>
            <w:u w:val="single"/>
          </w:rPr>
          <w:t>Mark Smith — Following Osiris (Oxford Academic)</w:t>
        </w:r>
      </w:hyperlink>
    </w:p>
    <w:p>
      <w:hyperlink r:id="rId18">
        <w:r>
          <w:rPr>
            <w:color w:val="8C6B2B"/>
            <w:u w:val="single"/>
          </w:rPr>
          <w:t>Philip Turner — Seth: A Misrepresented God? (Manchester)</w:t>
        </w:r>
      </w:hyperlink>
    </w:p>
    <w:p>
      <w:hyperlink r:id="rId19">
        <w:r>
          <w:rPr>
            <w:color w:val="8C6B2B"/>
            <w:u w:val="single"/>
          </w:rPr>
          <w:t>UCL Digital Egypt — The Horus Name</w:t>
        </w:r>
      </w:hyperlink>
    </w:p>
    <w:p>
      <w:hyperlink r:id="rId20">
        <w:r>
          <w:rPr>
            <w:color w:val="8C6B2B"/>
            <w:u w:val="single"/>
          </w:rPr>
          <w:t>UCL Digital Egypt — Book of the Dead Chapter 125</w:t>
        </w:r>
      </w:hyperlink>
    </w:p>
    <w:sectPr w:rsidR="00FC693F" w:rsidRPr="0006063C" w:rsidSect="00034616">
      <w:headerReference w:type="default" r:id="rId9"/>
      <w:footerReference w:type="default" r:id="rId10"/>
      <w:pgSz w:w="12240" w:h="15840"/>
      <w:pgMar w:top="1080" w:right="1181" w:bottom="1080"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063"/>
        <w:sz w:val="16"/>
      </w:rPr>
      <w:t xml:space="preserve">setthetruth.org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787063"/>
        <w:sz w:val="16"/>
      </w:rPr>
      <w:t>Set Before Osiris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251D1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6E512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251D12"/>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251D12"/>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6B625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videnceA">
    <w:name w:val="Evidence A"/>
    <w:pPr>
      <w:spacing w:after="80"/>
      <w:ind w:left="259"/>
    </w:pPr>
    <w:rPr>
      <w:rFonts w:ascii="Aptos" w:hAnsi="Aptos"/>
      <w:color w:val="375B34"/>
      <w:sz w:val="19"/>
    </w:rPr>
  </w:style>
  <w:style w:type="paragraph" w:customStyle="1" w:styleId="EvidenceB">
    <w:name w:val="Evidence B"/>
    <w:pPr>
      <w:spacing w:after="80"/>
      <w:ind w:left="259"/>
    </w:pPr>
    <w:rPr>
      <w:rFonts w:ascii="Aptos" w:hAnsi="Aptos"/>
      <w:color w:val="41546A"/>
      <w:sz w:val="19"/>
    </w:rPr>
  </w:style>
  <w:style w:type="paragraph" w:customStyle="1" w:styleId="EvidenceC">
    <w:name w:val="Evidence C"/>
    <w:pPr>
      <w:spacing w:after="80"/>
      <w:ind w:left="259"/>
    </w:pPr>
    <w:rPr>
      <w:rFonts w:ascii="Aptos" w:hAnsi="Aptos"/>
      <w:color w:val="783C3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rt.sbl-site.org/books/061538E" TargetMode="External"/><Relationship Id="rId12" Type="http://schemas.openxmlformats.org/officeDocument/2006/relationships/hyperlink" Target="https://www.britishmuseum.org/collection/object/Y_EA35597" TargetMode="External"/><Relationship Id="rId13" Type="http://schemas.openxmlformats.org/officeDocument/2006/relationships/hyperlink" Target="https://cart.sbl-site.org/books/062834P" TargetMode="External"/><Relationship Id="rId14" Type="http://schemas.openxmlformats.org/officeDocument/2006/relationships/hyperlink" Target="https://cart.sbl-site.org/books/061533C" TargetMode="External"/><Relationship Id="rId15" Type="http://schemas.openxmlformats.org/officeDocument/2006/relationships/hyperlink" Target="https://www.enim-egyptologie.fr/wp/les-actualites/img/utl/img/enim.xml?n=Mathieu&amp;p=Bernard&amp;page=auteur" TargetMode="External"/><Relationship Id="rId16" Type="http://schemas.openxmlformats.org/officeDocument/2006/relationships/hyperlink" Target="https://www.metmuseum.org/essays/egypt-in-the-old-kingdom-ca-2649-2150-b-c" TargetMode="External"/><Relationship Id="rId17" Type="http://schemas.openxmlformats.org/officeDocument/2006/relationships/hyperlink" Target="https://academic.oup.com/book/6025" TargetMode="External"/><Relationship Id="rId18" Type="http://schemas.openxmlformats.org/officeDocument/2006/relationships/hyperlink" Target="https://research.manchester.ac.uk/en/studentTheses/seth-a-misrepresented-god-in-the-ancient-egyptian-pantheon/" TargetMode="External"/><Relationship Id="rId19" Type="http://schemas.openxmlformats.org/officeDocument/2006/relationships/hyperlink" Target="https://www.ucl.ac.uk/museums-static/digitalegypt/ideology/kingname/horus.html" TargetMode="External"/><Relationship Id="rId20" Type="http://schemas.openxmlformats.org/officeDocument/2006/relationships/hyperlink" Target="https://www.ucl.ac.uk/museums-static/digitalegypt/literature/religious/bd125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