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8E6A2D"/>
          <w:sz w:val="20"/>
        </w:rPr>
        <w:t>SET THE TRUTH</w:t>
      </w:r>
    </w:p>
    <w:p>
      <w:pPr>
        <w:pStyle w:val="Title"/>
        <w:jc w:val="center"/>
      </w:pPr>
      <w:r>
        <w:t>The Osirian Reconfiguration</w:t>
      </w:r>
    </w:p>
    <w:p>
      <w:pPr>
        <w:pStyle w:val="Subtitle"/>
        <w:jc w:val="center"/>
      </w:pPr>
      <w:r>
        <w:t>Genealogy, mortuary status, and the development of judgment</w:t>
      </w:r>
    </w:p>
    <w:p/>
    <w:p>
      <w:pPr>
        <w:jc w:val="center"/>
      </w:pPr>
      <w:r>
        <w:rPr>
          <w:b/>
          <w:color w:val="9B3A2E"/>
          <w:sz w:val="18"/>
        </w:rPr>
        <w:t>WORKING PAPER · NOT PEER REVIEWED</w:t>
      </w:r>
    </w:p>
    <w:p>
      <w:pPr>
        <w:jc w:val="center"/>
      </w:pPr>
      <w:r>
        <w:t>Version 0.2 · 6 September 2026</w:t>
      </w:r>
    </w:p>
    <w:p>
      <w:pPr>
        <w:jc w:val="center"/>
      </w:pPr>
      <w:r>
        <w:t>Set the Truth Research Project · setthetruth.org</w:t>
      </w:r>
    </w:p>
    <w:p>
      <w:r>
        <w:br w:type="page"/>
      </w:r>
    </w:p>
    <w:p>
      <w:pPr>
        <w:pStyle w:val="Heading1"/>
      </w:pPr>
      <w:r>
        <w:t>Abstract</w:t>
      </w:r>
    </w:p>
    <w:p>
      <w:r>
        <w:t>This paper tests whether the rise of Osirian theology can be described as a structural reconfiguration of Egyptian mortuary religion rather than the simple addition of a new deity. It distinguishes five developments that need not have occurred simultaneously: the secure Fifth-Dynasty emergence of Osiris; the redefinition of Horus as son, avenger and heir; the corresponding recoding of Set as the aggressor of Osiris and uncle of Horus; the increasing use of Osirian status for the deceased ('Osiris N'); and the much later formalization of judgment in Book of the Dead chapter 125. The paper argues that Egyptian mortuary thought was already complex before the secure appearance of Osiris and that solar, stellar and Osirian destinations continued to coexist. 'Reconfiguration' therefore describes a progressive change in theological architecture, not a sudden replacement of one religion by another.</w:t>
      </w:r>
    </w:p>
    <w:p>
      <w:r>
        <w:rPr>
          <w:b/>
        </w:rPr>
        <w:t xml:space="preserve">Keywords: </w:t>
      </w:r>
      <w:r>
        <w:t>Osiris, Osirianization, afterlife, Horus, Set, Osiris N, judgment, Book of the Dead</w:t>
      </w:r>
    </w:p>
    <w:p>
      <w:pPr>
        <w:pStyle w:val="Heading1"/>
      </w:pPr>
      <w:r>
        <w:t>Evidence levels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Pr>
          <w:p>
            <w:r>
              <w:rPr>
                <w:b/>
              </w:rPr>
              <w:t>Level</w:t>
            </w:r>
          </w:p>
        </w:tc>
        <w:tc>
          <w:tcPr>
            <w:tcW w:type="dxa" w:w="4939"/>
            <w:vAlign w:val="center"/>
          </w:tcPr>
          <w:p>
            <w:r>
              <w:rPr>
                <w:b/>
              </w:rPr>
              <w:t>Meaning</w:t>
            </w:r>
          </w:p>
        </w:tc>
      </w:tr>
      <w:tr>
        <w:tc>
          <w:tcPr>
            <w:tcW w:type="dxa" w:w="4939"/>
            <w:vAlign w:val="center"/>
          </w:tcPr>
          <w:p>
            <w:r>
              <w:t>A — Attested</w:t>
            </w:r>
          </w:p>
        </w:tc>
        <w:tc>
          <w:tcPr>
            <w:tcW w:type="dxa" w:w="4939"/>
            <w:vAlign w:val="center"/>
          </w:tcPr>
          <w:p>
            <w:r>
              <w:t>Primary text/object or a defensible descriptive statement directly supported by specialist scholarship.</w:t>
            </w:r>
          </w:p>
        </w:tc>
      </w:tr>
      <w:tr>
        <w:tc>
          <w:tcPr>
            <w:tcW w:type="dxa" w:w="4939"/>
            <w:vAlign w:val="center"/>
          </w:tcPr>
          <w:p>
            <w:r>
              <w:t>B — Reconstruction</w:t>
            </w:r>
          </w:p>
        </w:tc>
        <w:tc>
          <w:tcPr>
            <w:tcW w:type="dxa" w:w="4939"/>
            <w:vAlign w:val="center"/>
          </w:tcPr>
          <w:p>
            <w:r>
              <w:t>Historical inference from chronology, textual stratigraphy, comparison, or institutional context.</w:t>
            </w:r>
          </w:p>
        </w:tc>
      </w:tr>
      <w:tr>
        <w:tc>
          <w:tcPr>
            <w:tcW w:type="dxa" w:w="4939"/>
            <w:vAlign w:val="center"/>
          </w:tcPr>
          <w:p>
            <w:r>
              <w:t>C — Hypothesis</w:t>
            </w:r>
          </w:p>
        </w:tc>
        <w:tc>
          <w:tcPr>
            <w:tcW w:type="dxa" w:w="4939"/>
            <w:vAlign w:val="center"/>
          </w:tcPr>
          <w:p>
            <w:r>
              <w:t>Cosmological/metaphysical extension. Never used to establish an A-level historical claim.</w:t>
            </w:r>
          </w:p>
        </w:tc>
      </w:tr>
    </w:tbl>
    <w:p>
      <w:pPr>
        <w:pStyle w:val="EvidenceB"/>
      </w:pPr>
      <w:r>
        <w:t>The central methodological rule is chronological: later coherent myths are not treated as automatic descriptions of the earliest recoverable system.</w:t>
      </w:r>
    </w:p>
    <w:p>
      <w:pPr>
        <w:pStyle w:val="Heading1"/>
      </w:pPr>
      <w:r>
        <w:t>1. Why “reconfiguration” rather than “replacement”</w:t>
      </w:r>
    </w:p>
    <w:p>
      <w:r>
        <w:t>A replacement model is too simple for the evidence. Solar kingship remains central after Osiris rises; the title 'Son of Ra' continues for millennia; solar and stellar ascent formulas coexist with Osirian material; and later Netherworld Books explicitly explore solar–Osirian unity. The historical phenomenon is therefore better described as the growth of an Osirian layer that reorganizes relationships and eventually becomes dominant in important sectors of mortuary religion without erasing every older framework.</w:t>
      </w:r>
    </w:p>
    <w:p>
      <w:pPr>
        <w:pStyle w:val="Heading1"/>
      </w:pPr>
      <w:r>
        <w:t>2. Mortuary thought before secure Osiris</w:t>
      </w:r>
    </w:p>
    <w:p>
      <w:r>
        <w:t>Mark Smith's study deliberately begins before the earliest secure evidence for Osiris because Egyptian conceptions of post-mortem existence did not begin with him. Burial practice, royal mortuary architecture, concepts of continued provision, and early forms of transformed or effective existence predate the Fifth Dynasty. The implication is methodological: Osiris cannot be treated as the necessary origin of every Egyptian idea about death simply because later sources place him at the center of the underworld.</w:t>
      </w:r>
    </w:p>
    <w:p>
      <w:r>
        <w:t>The Old Kingdom also preserves a strongly solar architecture of kingship. The Metropolitan Museum notes the increasing prominence of the solar cult in Dynasty 5, including royal sun temples. By the end of that dynasty, however, Osiris had gained momentum in the funerary realm. The resulting record is not a clean before/after switch but a period of overlap.</w:t>
      </w:r>
    </w:p>
    <w:p>
      <w:pPr>
        <w:pStyle w:val="Heading1"/>
      </w:pPr>
      <w:r>
        <w:t>3. Genealogical reconfiguration of Horus</w:t>
      </w:r>
    </w:p>
    <w:p>
      <w:r>
        <w:t>The crucial transformation concerns Horus. The oldest royal Horus is independent of Osiris. Mathieu's large-scale analysis of Pyramid Text Horus references describes a path from an archaic Horus of Hierakonpolis to the elaborated figure of Horus the child and heir of Osiris. Once Horus is defined through this father–son relation, royal succession acquires an Osirian genealogy: the dead predecessor is Osiris and the living successor is Horus.</w:t>
      </w:r>
    </w:p>
    <w:p>
      <w:pPr>
        <w:pStyle w:val="EvidenceB"/>
      </w:pPr>
      <w:r>
        <w:t>This structure is powerful precisely because it can absorb older Horus material. Horus does not disappear; he is reassigned within a new family logic. A god already central to kingship becomes the legitimate child and avenger of the dead king. The change therefore preserves continuity while altering the explanation of that continuity.</w:t>
      </w:r>
    </w:p>
    <w:p>
      <w:pPr>
        <w:pStyle w:val="Heading1"/>
      </w:pPr>
      <w:r>
        <w:t>4. Recoding Set through the same genealogy</w:t>
      </w:r>
    </w:p>
    <w:p>
      <w:r>
        <w:t>The same genealogical move changes Set. If Horus is the son of Osiris and Set is the brother/aggressor of Osiris, then the old Horus–Set rivalry becomes a conflict between heir and uncle. The moral asymmetry is now built into the family structure: Horus fights not simply as a peer but as the representative of a wronged father. The older rivalry can be retained verbatim while its cause and legal meaning are transformed.</w:t>
      </w:r>
    </w:p>
    <w:p>
      <w:r>
        <w:t>This is why contradictory kinship relations are not merely inconvenient. They are evidence that the corpus preserves more than one way of placing the gods in relation to one another. A stratigraphic reading does not require every contradiction to result from a centralized reform; local and ritual variation remain possible. But the contradictions are compatible with historical reuse and theological integration.</w:t>
      </w:r>
    </w:p>
    <w:p>
      <w:pPr>
        <w:pStyle w:val="Heading1"/>
      </w:pPr>
      <w:r>
        <w:t>5. The deceased as “Osiris N”</w:t>
      </w:r>
    </w:p>
    <w:p>
      <w:r>
        <w:t>A second structural change is the formula conventionally represented as 'Osiris N', where N stands for the individual's personal name. The personal name remains present; consequently, it is too strong to claim that the formula simply deletes individual identity. At the same time, the prefix is not trivial. The deceased is now ritually classified through Osiris. The project therefore uses the concept of 'status reclassification' rather than literal annihilation of the name.</w:t>
      </w:r>
    </w:p>
    <w:p>
      <w:pPr>
        <w:pStyle w:val="EvidenceB"/>
      </w:pPr>
      <w:r>
        <w:t>This distinction matters. In solar ascent formulas the deceased can remain N while moving toward Ra, joining the solar barque, or acquiring stellar status. There is no comparably standard formula 'Ra N' that becomes the generic designation of the dead. Osirianization thus changes the grammar of mortuary identity: N is increasingly framed within an Osirian status even when solar aspirations remain active.</w:t>
      </w:r>
    </w:p>
    <w:p>
      <w:pPr>
        <w:pStyle w:val="Heading1"/>
      </w:pPr>
      <w:r>
        <w:t>6. Nephthys and reconstitution</w:t>
      </w:r>
    </w:p>
    <w:p>
      <w:r>
        <w:t>The project gives Nephthys a specific but limited role. In Pyramid Text material she participates in bodily and personal restoration; an early formula has her take hold of the deceased and return the heart that belongs to the body. This supports describing her as an agent of reconstitution, not merely mourning. It does not, however, prove that she independently 'assigned new bodies' or controlled reincarnation. Those stronger claims are excluded from the historical layer.</w:t>
      </w:r>
    </w:p>
    <w:p>
      <w:r>
        <w:t>The heart is equally important. In early restoration formulas it belongs to the reconstituted person. In later judgment scenes it also functions as the object tested in relation to Maat and as a potential witness against its owner. The same component therefore appears in both restoration and judgment, but these functions belong to different textual and historical contexts. The project treats that development as a shift in mortuary architecture, not as proof of a single conspiratorial design.</w:t>
      </w:r>
    </w:p>
    <w:p>
      <w:pPr>
        <w:pStyle w:val="Heading1"/>
      </w:pPr>
      <w:r>
        <w:t>7. From justification to the formal tribunal</w:t>
      </w:r>
    </w:p>
    <w:p>
      <w:r>
        <w:t>The fully familiar scene of the deceased before Osiris, with the heart weighed and the forty-two assessors associated with Book of the Dead 125, is not the starting point of Egyptian afterlife belief. UCL Digital Egypt explicitly states that chapter 125 has no written sources earlier than the New Kingdom. Earlier traditions certainly contain moral self-presentation, divine litigation, ideas of Maat, and forms of justification, but the canonical scene is a later synthesis.</w:t>
      </w:r>
    </w:p>
    <w:p>
      <w:r>
        <w:t>This is one of the project's strongest chronological points. If a New Kingdom form is projected backward into the Early Dynastic or early Old Kingdom period, the development of Egyptian mortuary religion disappears. The correct history must distinguish older judicial metaphors from the later institutionalized Osirian tribunal.</w:t>
      </w:r>
    </w:p>
    <w:p>
      <w:pPr>
        <w:pStyle w:val="Heading1"/>
      </w:pPr>
      <w:r>
        <w:t>8. What “centralization” can and cannot mean</w:t>
      </w:r>
    </w:p>
    <w:p>
      <w:r>
        <w:t>Centralization is used here analytically. It means that an increasing number of mortuary relationships are defined through Osiris: the dead king as Osiris, Horus as his heir, Set as his aggressor, the deceased as 'Osiris N', Abydos as a major focus, and later judgment in Osiris's presence. It does not mean that every Egyptian believed an identical doctrine or that solar religion vanished.</w:t>
      </w:r>
    </w:p>
    <w:p>
      <w:pPr>
        <w:pStyle w:val="EvidenceB"/>
      </w:pPr>
      <w:r>
        <w:t>The model therefore predicts coexistence. Solar texts should remain active inside Osirianized corpora; local divine networks should persist; and later theology should devote effort to reconciling Ra and Osiris rather than simply replacing one with the other. This prediction matches the known history better than a total-replacement model.</w:t>
      </w:r>
    </w:p>
    <w:p>
      <w:pPr>
        <w:pStyle w:val="Heading1"/>
      </w:pPr>
      <w:r>
        <w:t>Evidence matrix</w:t>
      </w:r>
    </w:p>
    <w:tbl>
      <w:tblPr>
        <w:tblStyle w:val="TableGrid"/>
        <w:tblW w:type="auto" w:w="0"/>
        <w:jc w:val="center"/>
        <w:tblLook w:firstColumn="1" w:firstRow="1" w:lastColumn="0" w:lastRow="0" w:noHBand="0" w:noVBand="1" w:val="04A0"/>
      </w:tblPr>
      <w:tblGrid>
        <w:gridCol w:w="2469"/>
        <w:gridCol w:w="2469"/>
        <w:gridCol w:w="2469"/>
        <w:gridCol w:w="2469"/>
      </w:tblGrid>
      <w:tr>
        <w:trPr>
          <w:cantSplit/>
          <w:tblHeader w:val="true"/>
        </w:trPr>
        <w:tc>
          <w:tcPr>
            <w:tcW w:type="dxa" w:w="2469"/>
            <w:vAlign w:val="top"/>
          </w:tcPr>
          <w:p>
            <w:r>
              <w:t>Proposition</w:t>
            </w:r>
          </w:p>
        </w:tc>
        <w:tc>
          <w:tcPr>
            <w:tcW w:type="dxa" w:w="2469"/>
            <w:vAlign w:val="top"/>
          </w:tcPr>
          <w:p>
            <w:r>
              <w:t>Level</w:t>
            </w:r>
          </w:p>
        </w:tc>
        <w:tc>
          <w:tcPr>
            <w:tcW w:type="dxa" w:w="2469"/>
            <w:vAlign w:val="top"/>
          </w:tcPr>
          <w:p>
            <w:r>
              <w:t>Basis</w:t>
            </w:r>
          </w:p>
        </w:tc>
        <w:tc>
          <w:tcPr>
            <w:tcW w:type="dxa" w:w="2469"/>
            <w:vAlign w:val="top"/>
          </w:tcPr>
          <w:p>
            <w:r>
              <w:t>Caution</w:t>
            </w:r>
          </w:p>
        </w:tc>
      </w:tr>
      <w:tr>
        <w:trPr>
          <w:cantSplit/>
        </w:trPr>
        <w:tc>
          <w:tcPr>
            <w:tcW w:type="dxa" w:w="2469"/>
            <w:vAlign w:val="top"/>
          </w:tcPr>
          <w:p>
            <w:r>
              <w:t>Mortuary concepts predate secure Osiris evidence</w:t>
            </w:r>
          </w:p>
        </w:tc>
        <w:tc>
          <w:tcPr>
            <w:tcW w:type="dxa" w:w="2469"/>
            <w:vAlign w:val="top"/>
          </w:tcPr>
          <w:p>
            <w:r>
              <w:t>A</w:t>
            </w:r>
          </w:p>
        </w:tc>
        <w:tc>
          <w:tcPr>
            <w:tcW w:type="dxa" w:w="2469"/>
            <w:vAlign w:val="top"/>
          </w:tcPr>
          <w:p>
            <w:r>
              <w:t>Smith 2017; Old Kingdom archaeology</w:t>
            </w:r>
          </w:p>
        </w:tc>
        <w:tc>
          <w:tcPr>
            <w:tcW w:type="dxa" w:w="2469"/>
            <w:vAlign w:val="top"/>
          </w:tcPr>
          <w:p>
            <w:r>
              <w:t>Specific concepts vary by period.</w:t>
            </w:r>
          </w:p>
        </w:tc>
      </w:tr>
      <w:tr>
        <w:trPr>
          <w:cantSplit/>
        </w:trPr>
        <w:tc>
          <w:tcPr>
            <w:tcW w:type="dxa" w:w="2469"/>
            <w:vAlign w:val="top"/>
          </w:tcPr>
          <w:p>
            <w:r>
              <w:t>Osiris securely emerges in Dynasty 5</w:t>
            </w:r>
          </w:p>
        </w:tc>
        <w:tc>
          <w:tcPr>
            <w:tcW w:type="dxa" w:w="2469"/>
            <w:vAlign w:val="top"/>
          </w:tcPr>
          <w:p>
            <w:r>
              <w:t>A</w:t>
            </w:r>
          </w:p>
        </w:tc>
        <w:tc>
          <w:tcPr>
            <w:tcW w:type="dxa" w:w="2469"/>
            <w:vAlign w:val="top"/>
          </w:tcPr>
          <w:p>
            <w:r>
              <w:t>Smith 2017; Met overview</w:t>
            </w:r>
          </w:p>
        </w:tc>
        <w:tc>
          <w:tcPr>
            <w:tcW w:type="dxa" w:w="2469"/>
            <w:vAlign w:val="top"/>
          </w:tcPr>
          <w:p>
            <w:r>
              <w:t>Earlier oral/local existence remains possible.</w:t>
            </w:r>
          </w:p>
        </w:tc>
      </w:tr>
      <w:tr>
        <w:trPr>
          <w:cantSplit/>
        </w:trPr>
        <w:tc>
          <w:tcPr>
            <w:tcW w:type="dxa" w:w="2469"/>
            <w:vAlign w:val="top"/>
          </w:tcPr>
          <w:p>
            <w:r>
              <w:t>Horus is progressively framed as son/heir of Osiris</w:t>
            </w:r>
          </w:p>
        </w:tc>
        <w:tc>
          <w:tcPr>
            <w:tcW w:type="dxa" w:w="2469"/>
            <w:vAlign w:val="top"/>
          </w:tcPr>
          <w:p>
            <w:r>
              <w:t>A/B</w:t>
            </w:r>
          </w:p>
        </w:tc>
        <w:tc>
          <w:tcPr>
            <w:tcW w:type="dxa" w:w="2469"/>
            <w:vAlign w:val="top"/>
          </w:tcPr>
          <w:p>
            <w:r>
              <w:t>Mathieu 2013; Pyramid Text material</w:t>
            </w:r>
          </w:p>
        </w:tc>
        <w:tc>
          <w:tcPr>
            <w:tcW w:type="dxa" w:w="2469"/>
            <w:vAlign w:val="top"/>
          </w:tcPr>
          <w:p>
            <w:r>
              <w:t>Chronology of individual formulas remains complex.</w:t>
            </w:r>
          </w:p>
        </w:tc>
      </w:tr>
      <w:tr>
        <w:trPr>
          <w:cantSplit/>
        </w:trPr>
        <w:tc>
          <w:tcPr>
            <w:tcW w:type="dxa" w:w="2469"/>
            <w:vAlign w:val="top"/>
          </w:tcPr>
          <w:p>
            <w:r>
              <w:t>“Osiris N” represents an Osirian status applied to the deceased</w:t>
            </w:r>
          </w:p>
        </w:tc>
        <w:tc>
          <w:tcPr>
            <w:tcW w:type="dxa" w:w="2469"/>
            <w:vAlign w:val="top"/>
          </w:tcPr>
          <w:p>
            <w:r>
              <w:t>A/B</w:t>
            </w:r>
          </w:p>
        </w:tc>
        <w:tc>
          <w:tcPr>
            <w:tcW w:type="dxa" w:w="2469"/>
            <w:vAlign w:val="top"/>
          </w:tcPr>
          <w:p>
            <w:r>
              <w:t>Funerary formulae; Smith</w:t>
            </w:r>
          </w:p>
        </w:tc>
        <w:tc>
          <w:tcPr>
            <w:tcW w:type="dxa" w:w="2469"/>
            <w:vAlign w:val="top"/>
          </w:tcPr>
          <w:p>
            <w:r>
              <w:t>Not equivalent to proven erasure of personal identity.</w:t>
            </w:r>
          </w:p>
        </w:tc>
      </w:tr>
      <w:tr>
        <w:trPr>
          <w:cantSplit/>
        </w:trPr>
        <w:tc>
          <w:tcPr>
            <w:tcW w:type="dxa" w:w="2469"/>
            <w:vAlign w:val="top"/>
          </w:tcPr>
          <w:p>
            <w:r>
              <w:t>Classical BD 125 judgment is New Kingdom</w:t>
            </w:r>
          </w:p>
        </w:tc>
        <w:tc>
          <w:tcPr>
            <w:tcW w:type="dxa" w:w="2469"/>
            <w:vAlign w:val="top"/>
          </w:tcPr>
          <w:p>
            <w:r>
              <w:t>A</w:t>
            </w:r>
          </w:p>
        </w:tc>
        <w:tc>
          <w:tcPr>
            <w:tcW w:type="dxa" w:w="2469"/>
            <w:vAlign w:val="top"/>
          </w:tcPr>
          <w:p>
            <w:r>
              <w:t>UCL Digital Egypt</w:t>
            </w:r>
          </w:p>
        </w:tc>
        <w:tc>
          <w:tcPr>
            <w:tcW w:type="dxa" w:w="2469"/>
            <w:vAlign w:val="top"/>
          </w:tcPr>
          <w:p>
            <w:r>
              <w:t>Earlier moral/judicial ideas exist.</w:t>
            </w:r>
          </w:p>
        </w:tc>
      </w:tr>
      <w:tr>
        <w:trPr>
          <w:cantSplit/>
        </w:trPr>
        <w:tc>
          <w:tcPr>
            <w:tcW w:type="dxa" w:w="2469"/>
            <w:vAlign w:val="top"/>
          </w:tcPr>
          <w:p>
            <w:r>
              <w:t>Osirianization was a deliberate centralized takeover</w:t>
            </w:r>
          </w:p>
        </w:tc>
        <w:tc>
          <w:tcPr>
            <w:tcW w:type="dxa" w:w="2469"/>
            <w:vAlign w:val="top"/>
          </w:tcPr>
          <w:p>
            <w:r>
              <w:t>C/B</w:t>
            </w:r>
          </w:p>
        </w:tc>
        <w:tc>
          <w:tcPr>
            <w:tcW w:type="dxa" w:w="2469"/>
            <w:vAlign w:val="top"/>
          </w:tcPr>
          <w:p>
            <w:r>
              <w:t>Mathieu supports political/institutional motives; project extends further</w:t>
            </w:r>
          </w:p>
        </w:tc>
        <w:tc>
          <w:tcPr>
            <w:tcW w:type="dxa" w:w="2469"/>
            <w:vAlign w:val="top"/>
          </w:tcPr>
          <w:p>
            <w:r>
              <w:t>Intentionality and single-agency claims are not established.</w:t>
            </w:r>
          </w:p>
        </w:tc>
      </w:tr>
    </w:tbl>
    <w:p>
      <w:pPr>
        <w:pStyle w:val="Heading1"/>
      </w:pPr>
      <w:r>
        <w:t>9. Alternative models</w:t>
      </w:r>
    </w:p>
    <w:p>
      <w:r>
        <w:t>An alternative model emphasizes democratization of royal mortuary privilege rather than centralization. Another emphasizes local cult competition and gradual syncretism. A third treats the Pyramid Texts as a repository whose internal variability should not be forced into a single developmental sequence. These alternatives are compatible with several observations in this paper and should be tested against the same chronological matrix.</w:t>
      </w:r>
    </w:p>
    <w:p>
      <w:r>
        <w:t>For this reason, the working thesis is deliberately falsifiable. It would be weakened if early secure Osirian evidence were found centuries before the current record, if supposedly 'older' Horus–Set configurations turned out consistently to depend on Osirian contexts, or if 'Osiris N' could be shown to have no chronological or functional expansion. The project should be revised if such evidence appears.</w:t>
      </w:r>
    </w:p>
    <w:p>
      <w:pPr>
        <w:pStyle w:val="Heading1"/>
      </w:pPr>
      <w:r>
        <w:t>10. Conclusion</w:t>
      </w:r>
    </w:p>
    <w:p>
      <w:r>
        <w:t>The evidence supports a long transformation, not a single event. Egyptian mortuary religion existed before Osiris; Osiris becomes securely visible in Dynasty 5; Horus and Set are increasingly recoded within an Osirian family structure; the deceased is increasingly designated through Osiris; and the canonical judgment scene appears much later. The term 'Osirian reconfiguration' captures this sequence without requiring the stronger and currently unproven claim that one historical actor deliberately rewrote all earlier religion at once.</w:t>
      </w:r>
    </w:p>
    <w:p>
      <w:pPr>
        <w:pStyle w:val="Heading1"/>
      </w:pPr>
      <w:r>
        <w:t>Bibliography and research links</w:t>
      </w:r>
    </w:p>
    <w:p>
      <w:pPr>
        <w:ind w:hanging="317" w:left="317"/>
      </w:pPr>
      <w:r>
        <w:rPr>
          <w:b/>
        </w:rPr>
        <w:t xml:space="preserve">Allen, James P.. </w:t>
      </w:r>
      <w:r>
        <w:t>The Ancient Egyptian Pyramid Texts, 2nd ed.. Atlanta: SBL Press, 2015.</w:t>
      </w:r>
    </w:p>
    <w:p>
      <w:pPr>
        <w:ind w:hanging="317" w:left="317"/>
      </w:pPr>
      <w:r>
        <w:rPr>
          <w:b/>
        </w:rPr>
        <w:t xml:space="preserve">British Museum. </w:t>
      </w:r>
      <w:r>
        <w:t>Stela of Peribsen, EA35597. Collection record; 2nd Dynasty; serekh surmounted by the Seth animal.</w:t>
      </w:r>
    </w:p>
    <w:p>
      <w:pPr>
        <w:ind w:hanging="317" w:left="317"/>
      </w:pPr>
      <w:r>
        <w:rPr>
          <w:b/>
        </w:rPr>
        <w:t xml:space="preserve">Gracia Zamacona, Carlos. </w:t>
      </w:r>
      <w:r>
        <w:t>Los Textos de los Ataúdes del Egipto antiguo: Variabilidad, legitimación y diálogo. Atlanta: SBL Press, 2024.</w:t>
      </w:r>
    </w:p>
    <w:p>
      <w:pPr>
        <w:ind w:hanging="317" w:left="317"/>
      </w:pPr>
      <w:r>
        <w:rPr>
          <w:b/>
        </w:rPr>
        <w:t xml:space="preserve">Leprohon, Ronald J.. </w:t>
      </w:r>
      <w:r>
        <w:t>The Great Name: Ancient Egyptian Royal Titulary. Atlanta: SBL Press, 2013.</w:t>
      </w:r>
    </w:p>
    <w:p>
      <w:pPr>
        <w:ind w:hanging="317" w:left="317"/>
      </w:pPr>
      <w:r>
        <w:rPr>
          <w:b/>
        </w:rPr>
        <w:t xml:space="preserve">Mathieu, Bernard. </w:t>
      </w:r>
      <w:r>
        <w:t>Mais qui est donc Osiris ? Ou la politique sous le linceul de la religion. ENiM 3 (2010): 77–107.</w:t>
      </w:r>
    </w:p>
    <w:p>
      <w:pPr>
        <w:ind w:hanging="317" w:left="317"/>
      </w:pPr>
      <w:r>
        <w:rPr>
          <w:b/>
        </w:rPr>
        <w:t xml:space="preserve">Mathieu, Bernard. </w:t>
      </w:r>
      <w:r>
        <w:t>Seth polymorphe : le rival, le vaincu, l’auxiliaire. ENiM 4 (2011): 137–158.</w:t>
      </w:r>
    </w:p>
    <w:p>
      <w:pPr>
        <w:ind w:hanging="317" w:left="317"/>
      </w:pPr>
      <w:r>
        <w:rPr>
          <w:b/>
        </w:rPr>
        <w:t xml:space="preserve">Mathieu, Bernard. </w:t>
      </w:r>
      <w:r>
        <w:t>Horus : polysémie et métamorphoses. ENiM 6 (2013): 1–26.</w:t>
      </w:r>
    </w:p>
    <w:p>
      <w:pPr>
        <w:ind w:hanging="317" w:left="317"/>
      </w:pPr>
      <w:r>
        <w:rPr>
          <w:b/>
        </w:rPr>
        <w:t xml:space="preserve">Prakash, Tara. </w:t>
      </w:r>
      <w:r>
        <w:t>Egypt in the Old Kingdom (ca. 2649–2130 B.C.). The Metropolitan Museum of Art, Heilbrunn Timeline of Art History, 2019.</w:t>
      </w:r>
    </w:p>
    <w:p>
      <w:pPr>
        <w:ind w:hanging="317" w:left="317"/>
      </w:pPr>
      <w:r>
        <w:rPr>
          <w:b/>
        </w:rPr>
        <w:t xml:space="preserve">Smith, Mark. </w:t>
      </w:r>
      <w:r>
        <w:t>Following Osiris: Perspectives on the Osirian Afterlife from Four Millennia. Oxford: Oxford University Press, 2017.</w:t>
      </w:r>
    </w:p>
    <w:p>
      <w:pPr>
        <w:ind w:hanging="317" w:left="317"/>
      </w:pPr>
      <w:r>
        <w:rPr>
          <w:b/>
        </w:rPr>
        <w:t xml:space="preserve">Turner, Philip John. </w:t>
      </w:r>
      <w:r>
        <w:t>Seth – A Misrepresented God in the Ancient Egyptian Pantheon?. PhD diss., University of Manchester, 2012.</w:t>
      </w:r>
    </w:p>
    <w:p>
      <w:pPr>
        <w:ind w:hanging="317" w:left="317"/>
      </w:pPr>
      <w:r>
        <w:rPr>
          <w:b/>
        </w:rPr>
        <w:t xml:space="preserve">UCL Digital Egypt. </w:t>
      </w:r>
      <w:r>
        <w:t>The Horus Name. Digital Egypt for Universities, University College London.</w:t>
      </w:r>
    </w:p>
    <w:p>
      <w:pPr>
        <w:ind w:hanging="317" w:left="317"/>
      </w:pPr>
      <w:r>
        <w:rPr>
          <w:b/>
        </w:rPr>
        <w:t xml:space="preserve">UCL Digital Egypt. </w:t>
      </w:r>
      <w:r>
        <w:t>Book of the Dead, Chapter 125A–B. Digital Egypt for Universities, University College London.</w:t>
      </w:r>
    </w:p>
    <w:p>
      <w:pPr>
        <w:pStyle w:val="Heading2"/>
      </w:pPr>
      <w:r>
        <w:t>Online reference points used for verification</w:t>
      </w:r>
    </w:p>
    <w:p>
      <w:hyperlink r:id="rId11">
        <w:r>
          <w:rPr>
            <w:color w:val="8C6B2B"/>
            <w:u w:val="single"/>
          </w:rPr>
          <w:t>Allen — The Ancient Egyptian Pyramid Texts (SBL Press)</w:t>
        </w:r>
      </w:hyperlink>
    </w:p>
    <w:p>
      <w:hyperlink r:id="rId12">
        <w:r>
          <w:rPr>
            <w:color w:val="8C6B2B"/>
            <w:u w:val="single"/>
          </w:rPr>
          <w:t>British Museum — Stela of Peribsen EA35597</w:t>
        </w:r>
      </w:hyperlink>
    </w:p>
    <w:p>
      <w:hyperlink r:id="rId13">
        <w:r>
          <w:rPr>
            <w:color w:val="8C6B2B"/>
            <w:u w:val="single"/>
          </w:rPr>
          <w:t>Gracia Zamacona — Coffin Texts study (SBL Press)</w:t>
        </w:r>
      </w:hyperlink>
    </w:p>
    <w:p>
      <w:hyperlink r:id="rId14">
        <w:r>
          <w:rPr>
            <w:color w:val="8C6B2B"/>
            <w:u w:val="single"/>
          </w:rPr>
          <w:t>Leprohon — The Great Name (SBL Press)</w:t>
        </w:r>
      </w:hyperlink>
    </w:p>
    <w:p>
      <w:hyperlink r:id="rId15">
        <w:r>
          <w:rPr>
            <w:color w:val="8C6B2B"/>
            <w:u w:val="single"/>
          </w:rPr>
          <w:t>Bernard Mathieu — ENiM author page and articles</w:t>
        </w:r>
      </w:hyperlink>
    </w:p>
    <w:p>
      <w:hyperlink r:id="rId16">
        <w:r>
          <w:rPr>
            <w:color w:val="8C6B2B"/>
            <w:u w:val="single"/>
          </w:rPr>
          <w:t>Metropolitan Museum — Egypt in the Old Kingdom</w:t>
        </w:r>
      </w:hyperlink>
    </w:p>
    <w:p>
      <w:hyperlink r:id="rId17">
        <w:r>
          <w:rPr>
            <w:color w:val="8C6B2B"/>
            <w:u w:val="single"/>
          </w:rPr>
          <w:t>Mark Smith — Following Osiris (Oxford Academic)</w:t>
        </w:r>
      </w:hyperlink>
    </w:p>
    <w:p>
      <w:hyperlink r:id="rId18">
        <w:r>
          <w:rPr>
            <w:color w:val="8C6B2B"/>
            <w:u w:val="single"/>
          </w:rPr>
          <w:t>Philip Turner — Seth: A Misrepresented God? (Manchester)</w:t>
        </w:r>
      </w:hyperlink>
    </w:p>
    <w:p>
      <w:hyperlink r:id="rId19">
        <w:r>
          <w:rPr>
            <w:color w:val="8C6B2B"/>
            <w:u w:val="single"/>
          </w:rPr>
          <w:t>UCL Digital Egypt — The Horus Name</w:t>
        </w:r>
      </w:hyperlink>
    </w:p>
    <w:p>
      <w:hyperlink r:id="rId20">
        <w:r>
          <w:rPr>
            <w:color w:val="8C6B2B"/>
            <w:u w:val="single"/>
          </w:rPr>
          <w:t>UCL Digital Egypt — Book of the Dead Chapter 125</w:t>
        </w:r>
      </w:hyperlink>
    </w:p>
    <w:sectPr w:rsidR="00FC693F" w:rsidRPr="0006063C" w:rsidSect="00034616">
      <w:headerReference w:type="default" r:id="rId9"/>
      <w:footerReference w:type="default" r:id="rId10"/>
      <w:pgSz w:w="12240" w:h="15840"/>
      <w:pgMar w:top="1080" w:right="1181" w:bottom="1080"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063"/>
        <w:sz w:val="16"/>
      </w:rPr>
      <w:t xml:space="preserve">setthetruth.org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787063"/>
        <w:sz w:val="16"/>
      </w:rPr>
      <w:t>The Osirian Reconfiguration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1D1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6E512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51D1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51D12"/>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B625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A">
    <w:name w:val="Evidence A"/>
    <w:pPr>
      <w:spacing w:after="80"/>
      <w:ind w:left="259"/>
    </w:pPr>
    <w:rPr>
      <w:rFonts w:ascii="Aptos" w:hAnsi="Aptos"/>
      <w:color w:val="375B34"/>
      <w:sz w:val="19"/>
    </w:rPr>
  </w:style>
  <w:style w:type="paragraph" w:customStyle="1" w:styleId="EvidenceB">
    <w:name w:val="Evidence B"/>
    <w:pPr>
      <w:spacing w:after="80"/>
      <w:ind w:left="259"/>
    </w:pPr>
    <w:rPr>
      <w:rFonts w:ascii="Aptos" w:hAnsi="Aptos"/>
      <w:color w:val="41546A"/>
      <w:sz w:val="19"/>
    </w:rPr>
  </w:style>
  <w:style w:type="paragraph" w:customStyle="1" w:styleId="EvidenceC">
    <w:name w:val="Evidence C"/>
    <w:pPr>
      <w:spacing w:after="80"/>
      <w:ind w:left="259"/>
    </w:pPr>
    <w:rPr>
      <w:rFonts w:ascii="Aptos" w:hAnsi="Aptos"/>
      <w:color w:val="783C3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rt.sbl-site.org/books/061538E" TargetMode="External"/><Relationship Id="rId12" Type="http://schemas.openxmlformats.org/officeDocument/2006/relationships/hyperlink" Target="https://www.britishmuseum.org/collection/object/Y_EA35597" TargetMode="External"/><Relationship Id="rId13" Type="http://schemas.openxmlformats.org/officeDocument/2006/relationships/hyperlink" Target="https://cart.sbl-site.org/books/062834P" TargetMode="External"/><Relationship Id="rId14" Type="http://schemas.openxmlformats.org/officeDocument/2006/relationships/hyperlink" Target="https://cart.sbl-site.org/books/061533C" TargetMode="External"/><Relationship Id="rId15" Type="http://schemas.openxmlformats.org/officeDocument/2006/relationships/hyperlink" Target="https://www.enim-egyptologie.fr/wp/les-actualites/img/utl/img/enim.xml?n=Mathieu&amp;p=Bernard&amp;page=auteur" TargetMode="External"/><Relationship Id="rId16" Type="http://schemas.openxmlformats.org/officeDocument/2006/relationships/hyperlink" Target="https://www.metmuseum.org/essays/egypt-in-the-old-kingdom-ca-2649-2150-b-c" TargetMode="External"/><Relationship Id="rId17" Type="http://schemas.openxmlformats.org/officeDocument/2006/relationships/hyperlink" Target="https://academic.oup.com/book/6025" TargetMode="External"/><Relationship Id="rId18" Type="http://schemas.openxmlformats.org/officeDocument/2006/relationships/hyperlink" Target="https://research.manchester.ac.uk/en/studentTheses/seth-a-misrepresented-god-in-the-ancient-egyptian-pantheon/" TargetMode="External"/><Relationship Id="rId19" Type="http://schemas.openxmlformats.org/officeDocument/2006/relationships/hyperlink" Target="https://www.ucl.ac.uk/museums-static/digitalegypt/ideology/kingname/horus.html" TargetMode="External"/><Relationship Id="rId20" Type="http://schemas.openxmlformats.org/officeDocument/2006/relationships/hyperlink" Target="https://www.ucl.ac.uk/museums-static/digitalegypt/literature/religious/bd125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