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E6A2D"/>
          <w:sz w:val="20"/>
        </w:rPr>
        <w:t>SET THE TRUTH</w:t>
      </w:r>
    </w:p>
    <w:p>
      <w:pPr>
        <w:pStyle w:val="Title"/>
        <w:jc w:val="center"/>
      </w:pPr>
      <w:r>
        <w:t>Textual Seams</w:t>
      </w:r>
    </w:p>
    <w:p>
      <w:pPr>
        <w:pStyle w:val="Subtitle"/>
        <w:jc w:val="center"/>
      </w:pPr>
      <w:r>
        <w:t>Stratigraphy, contradiction, and theological reuse in the Horus–Set–Osiris complex</w:t>
      </w:r>
    </w:p>
    <w:p/>
    <w:p>
      <w:pPr>
        <w:jc w:val="center"/>
      </w:pPr>
      <w:r>
        <w:rPr>
          <w:b/>
          <w:color w:val="9B3A2E"/>
          <w:sz w:val="18"/>
        </w:rPr>
        <w:t>WORKING PAPER · NOT PEER REVIEWED</w:t>
      </w:r>
    </w:p>
    <w:p>
      <w:pPr>
        <w:jc w:val="center"/>
      </w:pPr>
      <w:r>
        <w:t>Version 0.2 · 6 September 2026</w:t>
      </w:r>
    </w:p>
    <w:p>
      <w:pPr>
        <w:jc w:val="center"/>
      </w:pPr>
      <w:r>
        <w:t>Set the Truth Research Project · setthetruth.org</w:t>
      </w:r>
    </w:p>
    <w:p>
      <w:r>
        <w:br w:type="page"/>
      </w:r>
    </w:p>
    <w:p>
      <w:pPr>
        <w:pStyle w:val="Heading1"/>
      </w:pPr>
      <w:r>
        <w:t>Abstract</w:t>
      </w:r>
    </w:p>
    <w:p>
      <w:r>
        <w:t>This paper treats contradiction in Egyptian religious texts as potential historical evidence. Instead of harmonizing every statement about Horus, Set and Osiris into one timeless mythology, it identifies recurring 'seams': competing kinship relations, incompatible moral roles, simultaneous solar and Osirian destinations, and the persistence of positive Set functions inside increasingly Osirian corpora. A seam does not by itself prove deliberate falsification. It may result from local theology, ritual context, textual reuse, scribal transmission or institutional change. The methodological claim is more modest: contradictions should be mapped chronologically and functionally before they are reconciled. When they cluster around the Fifth- and Sixth-Dynasty rise of Osirian theology, they become evidence for theological stratification.</w:t>
      </w:r>
    </w:p>
    <w:p>
      <w:r>
        <w:rPr>
          <w:b/>
        </w:rPr>
        <w:t xml:space="preserve">Keywords: </w:t>
      </w:r>
      <w:r>
        <w:t>textual stratigraphy, contradiction, Horus, Set, Osiris, Pyramid Texts, theological reuse</w:t>
      </w:r>
    </w:p>
    <w:p>
      <w:pPr>
        <w:pStyle w:val="Heading1"/>
      </w:pPr>
      <w:r>
        <w:t>Evidence levels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Pr>
          <w:p>
            <w:r>
              <w:rPr>
                <w:b/>
              </w:rPr>
              <w:t>Level</w:t>
            </w:r>
          </w:p>
        </w:tc>
        <w:tc>
          <w:tcPr>
            <w:tcW w:type="dxa" w:w="4939"/>
            <w:vAlign w:val="center"/>
          </w:tcPr>
          <w:p>
            <w:r>
              <w:rPr>
                <w:b/>
              </w:rPr>
              <w:t>Meaning</w:t>
            </w:r>
          </w:p>
        </w:tc>
      </w:tr>
      <w:tr>
        <w:tc>
          <w:tcPr>
            <w:tcW w:type="dxa" w:w="4939"/>
            <w:vAlign w:val="center"/>
          </w:tcPr>
          <w:p>
            <w:r>
              <w:t>A — Attested</w:t>
            </w:r>
          </w:p>
        </w:tc>
        <w:tc>
          <w:tcPr>
            <w:tcW w:type="dxa" w:w="4939"/>
            <w:vAlign w:val="center"/>
          </w:tcPr>
          <w:p>
            <w:r>
              <w:t>Primary text/object or a defensible descriptive statement directly supported by specialist scholarship.</w:t>
            </w:r>
          </w:p>
        </w:tc>
      </w:tr>
      <w:tr>
        <w:tc>
          <w:tcPr>
            <w:tcW w:type="dxa" w:w="4939"/>
            <w:vAlign w:val="center"/>
          </w:tcPr>
          <w:p>
            <w:r>
              <w:t>B — Reconstruction</w:t>
            </w:r>
          </w:p>
        </w:tc>
        <w:tc>
          <w:tcPr>
            <w:tcW w:type="dxa" w:w="4939"/>
            <w:vAlign w:val="center"/>
          </w:tcPr>
          <w:p>
            <w:r>
              <w:t>Historical inference from chronology, textual stratigraphy, comparison, or institutional context.</w:t>
            </w:r>
          </w:p>
        </w:tc>
      </w:tr>
      <w:tr>
        <w:tc>
          <w:tcPr>
            <w:tcW w:type="dxa" w:w="4939"/>
            <w:vAlign w:val="center"/>
          </w:tcPr>
          <w:p>
            <w:r>
              <w:t>C — Hypothesis</w:t>
            </w:r>
          </w:p>
        </w:tc>
        <w:tc>
          <w:tcPr>
            <w:tcW w:type="dxa" w:w="4939"/>
            <w:vAlign w:val="center"/>
          </w:tcPr>
          <w:p>
            <w:r>
              <w:t>Cosmological/metaphysical extension. Never used to establish an A-level historical claim.</w:t>
            </w:r>
          </w:p>
        </w:tc>
      </w:tr>
    </w:tbl>
    <w:p>
      <w:pPr>
        <w:pStyle w:val="EvidenceB"/>
      </w:pPr>
      <w:r>
        <w:t>The central methodological rule is chronological: later coherent myths are not treated as automatic descriptions of the earliest recoverable system.</w:t>
      </w:r>
    </w:p>
    <w:p>
      <w:pPr>
        <w:pStyle w:val="Heading1"/>
      </w:pPr>
      <w:r>
        <w:t>1. What is a “seam”?</w:t>
      </w:r>
    </w:p>
    <w:p>
      <w:r>
        <w:t>A seam is a point where two propositions can both be authoritative in the tradition but cannot be reduced to one simple historical statement without additional explanation. Examples include a deity being both helper and criminal, two gods being both brothers and uncle/nephew depending on genealogy, or a deceased king being simultaneously oriented toward Ra and designated through Osiris. The seam is not an error to be eliminated; it is a clue to the history of the text and institution.</w:t>
      </w:r>
    </w:p>
    <w:p>
      <w:r>
        <w:t>This approach borrows from textual stratigraphy without assuming that every layer can be dated with precision. Pyramid Text utterances were inscribed in particular royal monuments, but individual compositions may be older, revised or reused. The aim is therefore not to assign every sentence to a hypothetical source document. It is to establish a hierarchy of confidence: secure monument date, relative theological relation, and only then inferred historical sequence.</w:t>
      </w:r>
    </w:p>
    <w:p>
      <w:pPr>
        <w:pStyle w:val="Heading1"/>
      </w:pPr>
      <w:r>
        <w:t>2. Seam I: Horus and Set — brothers, peers, or uncle and nephew?</w:t>
      </w:r>
    </w:p>
    <w:p>
      <w:r>
        <w:t>The later Osirian family structure makes the relation straightforward: Osiris and Set are brothers; Horus is the son of Osiris; Set is therefore Horus's uncle. Yet older Horus–Set material can treat the two as direct counterparts in conflict and reconciliation. The existence of direct peer-like structures is expected from early royal ideology, where Horus and Set can represent complementary or competing powers of kingship.</w:t>
      </w:r>
    </w:p>
    <w:p>
      <w:pPr>
        <w:pStyle w:val="EvidenceB"/>
      </w:pPr>
      <w:r>
        <w:t>The seam becomes historically meaningful once Horus is progressively redefined as the child and heir of Osiris. The old conflict no longer needs to disappear. It can be retained and supplied with a new genealogy. This is a classic mechanism of religious reuse: continuity of narrative action combined with change in the social identity of the actors.</w:t>
      </w:r>
    </w:p>
    <w:p>
      <w:pPr>
        <w:pStyle w:val="Heading1"/>
      </w:pPr>
      <w:r>
        <w:t>3. Seam II: Set — royal power, auxiliary, aggressor</w:t>
      </w:r>
    </w:p>
    <w:p>
      <w:r>
        <w:t>Peribsen's titulary shows a Set compatible with royal legitimacy. The Pyramid Texts later preserve passages where Set is integrated into ritual transformation, while other sequences subordinate or punish him in relation to Osiris. Mathieu's label 'polymorphic' is valuable because it resists premature harmonization. Turner likewise emphasizes that Set's position fluctuates across periods and regions.</w:t>
      </w:r>
    </w:p>
    <w:p>
      <w:r>
        <w:t>The seam is not resolved by deciding that one side is 'the real Set'. Both are Egyptian. The historical question is which function is earlier in a given domain and what institutional process allowed contradictory functions to coexist. The project hypothesizes that Osirian integration moralized an older rivalry, but this remains a B-level reconstruction rather than a direct statement of the texts.</w:t>
      </w:r>
    </w:p>
    <w:p>
      <w:pPr>
        <w:pStyle w:val="Heading1"/>
      </w:pPr>
      <w:r>
        <w:t>4. Seam III: the dead as N and as “Osiris N”</w:t>
      </w:r>
    </w:p>
    <w:p>
      <w:r>
        <w:t>The symbol N used in modern translations represents the personal name inserted in a formula. In many solar or stellar sequences the individual remains N while acquiring new powers, joining divine company or ascending. In Osirian funerary discourse the same personal name can be prefixed by Osiris. The personal identifier remains, yet the person is also assigned an Osirian classification.</w:t>
      </w:r>
    </w:p>
    <w:p>
      <w:r>
        <w:t>The seam supports two competing readings. A conservative reading treats 'Osiris N' as a ritual title or status that preserves personal identity. The project's stronger interpretive reading sees it as evidence that post-mortem identity is now mediated through an Osirian category. What the formula does not establish by itself is literal replacement of the individual's consciousness or the insertion of a foreign identity. Those claims require independent evidence.</w:t>
      </w:r>
    </w:p>
    <w:p>
      <w:pPr>
        <w:pStyle w:val="Heading1"/>
      </w:pPr>
      <w:r>
        <w:t>5. Seam IV: solar ascent inside an Osirianized world</w:t>
      </w:r>
    </w:p>
    <w:p>
      <w:r>
        <w:t>The rise of Osiris does not abolish Ra. Old Kingdom Pyramid Texts combine solar, stellar and Osirian references; later Egyptian theology goes on to theorize the relation between Ra and Osiris explicitly. This overlap is fatal to a simplistic 'Ra religion replaced by Osiris religion' narrative, but highly compatible with reconfiguration.</w:t>
      </w:r>
    </w:p>
    <w:p>
      <w:r>
        <w:t>The seam also provides a control against over-interpretation. If Osirianization were a total ideological conquest, one might predict the disappearance of solar destinations. Instead, older aspirations are preserved and recombined. Any model of change must therefore explain conservation as well as innovation.</w:t>
      </w:r>
    </w:p>
    <w:p>
      <w:pPr>
        <w:pStyle w:val="Heading1"/>
      </w:pPr>
      <w:r>
        <w:t>6. Seam V: reconstitution and judgment</w:t>
      </w:r>
    </w:p>
    <w:p>
      <w:r>
        <w:t>Early mortuary formulas emphasize restoration: bodily integrity, heart, mouth, movement, transformation and ascent. Nephthys participates in restoration and can be said to return the heart to the body. Later judgment texts make the heart central to moral evaluation. The same organ is thus both restored as part of the person and evaluated within a judicial scene.</w:t>
      </w:r>
    </w:p>
    <w:p>
      <w:r>
        <w:t>This does not prove that a previously restorative technology was deliberately converted into surveillance. It does show that the theological function of the heart expands. The chronological gap is essential: the famous Book of the Dead chapter 125 formulation is New Kingdom, whereas the Pyramid Text restoration material is Old Kingdom. The history between them must not be collapsed.</w:t>
      </w:r>
    </w:p>
    <w:p>
      <w:pPr>
        <w:pStyle w:val="Heading1"/>
      </w:pPr>
      <w:r>
        <w:t>7. Seam VI: litigation before the canonical tribunal</w:t>
      </w:r>
    </w:p>
    <w:p>
      <w:r>
        <w:t>Divine litigation is older than Book of the Dead 125. Horus and Set can have their case heard; gods adjudicate disputes; Maat and rightful inheritance belong to earlier Egyptian political and religious language. Yet the canonical tribunal of the ordinary deceased, with forty-two assessors and the weighing of the heart before Osiris, is a later synthesis. Similar vocabulary does not equal institutional identity.</w:t>
      </w:r>
    </w:p>
    <w:p>
      <w:r>
        <w:t>The project therefore distinguishes judicial metaphor from a standardized mortuary jurisdiction. This distinction is central to the Philosophy of Liberation: the existence of older divine judgments does not prove that access to post-mortem existence was always mediated by the same Osirian tribunal.</w:t>
      </w:r>
    </w:p>
    <w:p>
      <w:pPr>
        <w:pStyle w:val="Heading1"/>
      </w:pPr>
      <w:r>
        <w:t>Evidence matrix</w:t>
      </w:r>
    </w:p>
    <w:tbl>
      <w:tblPr>
        <w:tblStyle w:val="TableGrid"/>
        <w:tblW w:type="auto" w:w="0"/>
        <w:jc w:val="center"/>
        <w:tblLook w:firstColumn="1" w:firstRow="1" w:lastColumn="0" w:lastRow="0" w:noHBand="0" w:noVBand="1" w:val="04A0"/>
      </w:tblPr>
      <w:tblGrid>
        <w:gridCol w:w="2469"/>
        <w:gridCol w:w="2469"/>
        <w:gridCol w:w="2469"/>
        <w:gridCol w:w="2469"/>
      </w:tblGrid>
      <w:tr>
        <w:trPr>
          <w:cantSplit/>
          <w:tblHeader w:val="true"/>
        </w:trPr>
        <w:tc>
          <w:tcPr>
            <w:tcW w:type="dxa" w:w="2469"/>
            <w:vAlign w:val="top"/>
          </w:tcPr>
          <w:p>
            <w:r>
              <w:t>Proposition</w:t>
            </w:r>
          </w:p>
        </w:tc>
        <w:tc>
          <w:tcPr>
            <w:tcW w:type="dxa" w:w="2469"/>
            <w:vAlign w:val="top"/>
          </w:tcPr>
          <w:p>
            <w:r>
              <w:t>Level</w:t>
            </w:r>
          </w:p>
        </w:tc>
        <w:tc>
          <w:tcPr>
            <w:tcW w:type="dxa" w:w="2469"/>
            <w:vAlign w:val="top"/>
          </w:tcPr>
          <w:p>
            <w:r>
              <w:t>Basis</w:t>
            </w:r>
          </w:p>
        </w:tc>
        <w:tc>
          <w:tcPr>
            <w:tcW w:type="dxa" w:w="2469"/>
            <w:vAlign w:val="top"/>
          </w:tcPr>
          <w:p>
            <w:r>
              <w:t>Caution</w:t>
            </w:r>
          </w:p>
        </w:tc>
      </w:tr>
      <w:tr>
        <w:trPr>
          <w:cantSplit/>
        </w:trPr>
        <w:tc>
          <w:tcPr>
            <w:tcW w:type="dxa" w:w="2469"/>
            <w:vAlign w:val="top"/>
          </w:tcPr>
          <w:p>
            <w:r>
              <w:t>Horus–Set peer/rival structures coexist with uncle/nephew genealogy</w:t>
            </w:r>
          </w:p>
        </w:tc>
        <w:tc>
          <w:tcPr>
            <w:tcW w:type="dxa" w:w="2469"/>
            <w:vAlign w:val="top"/>
          </w:tcPr>
          <w:p>
            <w:r>
              <w:t>A/B</w:t>
            </w:r>
          </w:p>
        </w:tc>
        <w:tc>
          <w:tcPr>
            <w:tcW w:type="dxa" w:w="2469"/>
            <w:vAlign w:val="top"/>
          </w:tcPr>
          <w:p>
            <w:r>
              <w:t>Early kingship + Pyramid Text variety + Mathieu</w:t>
            </w:r>
          </w:p>
        </w:tc>
        <w:tc>
          <w:tcPr>
            <w:tcW w:type="dxa" w:w="2469"/>
            <w:vAlign w:val="top"/>
          </w:tcPr>
          <w:p>
            <w:r>
              <w:t>Exact dating of individual mythic motifs remains difficult.</w:t>
            </w:r>
          </w:p>
        </w:tc>
      </w:tr>
      <w:tr>
        <w:trPr>
          <w:cantSplit/>
        </w:trPr>
        <w:tc>
          <w:tcPr>
            <w:tcW w:type="dxa" w:w="2469"/>
            <w:vAlign w:val="top"/>
          </w:tcPr>
          <w:p>
            <w:r>
              <w:t>Set is both auxiliary and aggressor</w:t>
            </w:r>
          </w:p>
        </w:tc>
        <w:tc>
          <w:tcPr>
            <w:tcW w:type="dxa" w:w="2469"/>
            <w:vAlign w:val="top"/>
          </w:tcPr>
          <w:p>
            <w:r>
              <w:t>A</w:t>
            </w:r>
          </w:p>
        </w:tc>
        <w:tc>
          <w:tcPr>
            <w:tcW w:type="dxa" w:w="2469"/>
            <w:vAlign w:val="top"/>
          </w:tcPr>
          <w:p>
            <w:r>
              <w:t>Allen; Turner; Mathieu</w:t>
            </w:r>
          </w:p>
        </w:tc>
        <w:tc>
          <w:tcPr>
            <w:tcW w:type="dxa" w:w="2469"/>
            <w:vAlign w:val="top"/>
          </w:tcPr>
          <w:p>
            <w:r>
              <w:t>Different contexts may explain difference without chronological rewriting.</w:t>
            </w:r>
          </w:p>
        </w:tc>
      </w:tr>
      <w:tr>
        <w:trPr>
          <w:cantSplit/>
        </w:trPr>
        <w:tc>
          <w:tcPr>
            <w:tcW w:type="dxa" w:w="2469"/>
            <w:vAlign w:val="top"/>
          </w:tcPr>
          <w:p>
            <w:r>
              <w:t>Solar and Osirian destinations coexist</w:t>
            </w:r>
          </w:p>
        </w:tc>
        <w:tc>
          <w:tcPr>
            <w:tcW w:type="dxa" w:w="2469"/>
            <w:vAlign w:val="top"/>
          </w:tcPr>
          <w:p>
            <w:r>
              <w:t>A</w:t>
            </w:r>
          </w:p>
        </w:tc>
        <w:tc>
          <w:tcPr>
            <w:tcW w:type="dxa" w:w="2469"/>
            <w:vAlign w:val="top"/>
          </w:tcPr>
          <w:p>
            <w:r>
              <w:t>Pyramid Texts; Met; later solar-Osirian theology</w:t>
            </w:r>
          </w:p>
        </w:tc>
        <w:tc>
          <w:tcPr>
            <w:tcW w:type="dxa" w:w="2469"/>
            <w:vAlign w:val="top"/>
          </w:tcPr>
          <w:p>
            <w:r>
              <w:t>Coexistence argues against simple replacement.</w:t>
            </w:r>
          </w:p>
        </w:tc>
      </w:tr>
      <w:tr>
        <w:trPr>
          <w:cantSplit/>
        </w:trPr>
        <w:tc>
          <w:tcPr>
            <w:tcW w:type="dxa" w:w="2469"/>
            <w:vAlign w:val="top"/>
          </w:tcPr>
          <w:p>
            <w:r>
              <w:t>“Osiris N” changes the status grammar of the deceased</w:t>
            </w:r>
          </w:p>
        </w:tc>
        <w:tc>
          <w:tcPr>
            <w:tcW w:type="dxa" w:w="2469"/>
            <w:vAlign w:val="top"/>
          </w:tcPr>
          <w:p>
            <w:r>
              <w:t>B</w:t>
            </w:r>
          </w:p>
        </w:tc>
        <w:tc>
          <w:tcPr>
            <w:tcW w:type="dxa" w:w="2469"/>
            <w:vAlign w:val="top"/>
          </w:tcPr>
          <w:p>
            <w:r>
              <w:t>Funerary usage</w:t>
            </w:r>
          </w:p>
        </w:tc>
        <w:tc>
          <w:tcPr>
            <w:tcW w:type="dxa" w:w="2469"/>
            <w:vAlign w:val="top"/>
          </w:tcPr>
          <w:p>
            <w:r>
              <w:t>Degree of ontological change is debated.</w:t>
            </w:r>
          </w:p>
        </w:tc>
      </w:tr>
      <w:tr>
        <w:trPr>
          <w:cantSplit/>
        </w:trPr>
        <w:tc>
          <w:tcPr>
            <w:tcW w:type="dxa" w:w="2469"/>
            <w:vAlign w:val="top"/>
          </w:tcPr>
          <w:p>
            <w:r>
              <w:t>Heart restoration predates canonical heart-weighing scene</w:t>
            </w:r>
          </w:p>
        </w:tc>
        <w:tc>
          <w:tcPr>
            <w:tcW w:type="dxa" w:w="2469"/>
            <w:vAlign w:val="top"/>
          </w:tcPr>
          <w:p>
            <w:r>
              <w:t>A/B</w:t>
            </w:r>
          </w:p>
        </w:tc>
        <w:tc>
          <w:tcPr>
            <w:tcW w:type="dxa" w:w="2469"/>
            <w:vAlign w:val="top"/>
          </w:tcPr>
          <w:p>
            <w:r>
              <w:t>Pyramid Text restoration vs. UCL BD125 dating</w:t>
            </w:r>
          </w:p>
        </w:tc>
        <w:tc>
          <w:tcPr>
            <w:tcW w:type="dxa" w:w="2469"/>
            <w:vAlign w:val="top"/>
          </w:tcPr>
          <w:p>
            <w:r>
              <w:t>Earlier moral evaluation still existed.</w:t>
            </w:r>
          </w:p>
        </w:tc>
      </w:tr>
      <w:tr>
        <w:trPr>
          <w:cantSplit/>
        </w:trPr>
        <w:tc>
          <w:tcPr>
            <w:tcW w:type="dxa" w:w="2469"/>
            <w:vAlign w:val="top"/>
          </w:tcPr>
          <w:p>
            <w:r>
              <w:t>The seams prove deliberate falsification by Osiris</w:t>
            </w:r>
          </w:p>
        </w:tc>
        <w:tc>
          <w:tcPr>
            <w:tcW w:type="dxa" w:w="2469"/>
            <w:vAlign w:val="top"/>
          </w:tcPr>
          <w:p>
            <w:r>
              <w:t>C/unsupported historically</w:t>
            </w:r>
          </w:p>
        </w:tc>
        <w:tc>
          <w:tcPr>
            <w:tcW w:type="dxa" w:w="2469"/>
            <w:vAlign w:val="top"/>
          </w:tcPr>
          <w:p>
            <w:r>
              <w:t>No direct historical evidence</w:t>
            </w:r>
          </w:p>
        </w:tc>
        <w:tc>
          <w:tcPr>
            <w:tcW w:type="dxa" w:w="2469"/>
            <w:vAlign w:val="top"/>
          </w:tcPr>
          <w:p>
            <w:r>
              <w:t>Requires a separate speculative model.</w:t>
            </w:r>
          </w:p>
        </w:tc>
      </w:tr>
    </w:tbl>
    <w:p>
      <w:pPr>
        <w:pStyle w:val="Heading1"/>
      </w:pPr>
      <w:r>
        <w:t>8. Criteria for distinguishing stratification from ordinary variation</w:t>
      </w:r>
    </w:p>
    <w:p>
      <w:r>
        <w:t>A contradiction becomes stronger evidence of historical stratification when several conditions coincide: (1) one configuration has earlier independent attestations; (2) the alternative configuration clusters in a later institutional context; (3) the later version preserves recognizable older actions while changing genealogy or moral evaluation; and (4) the later system expands across genres or social groups. No single criterion is sufficient, but together they create a cumulative case.</w:t>
      </w:r>
    </w:p>
    <w:p>
      <w:r>
        <w:t>Conversely, a contradiction should be treated cautiously when it is confined to one local cult, depends on an uncertain translation, or can be explained by ritual role without chronological change. The project should publish such cases as 'open seams' rather than force them into the central thesis.</w:t>
      </w:r>
    </w:p>
    <w:p>
      <w:pPr>
        <w:pStyle w:val="Heading1"/>
      </w:pPr>
      <w:r>
        <w:t>9. Conclusion</w:t>
      </w:r>
    </w:p>
    <w:p>
      <w:r>
        <w:t>The Horus–Set–Osiris complex is best approached as a history of reuse. The evidence contains seams because Egyptian theology preserved older divine actors while changing the relationships among them. The most important seams — direct Horus–Set rivalry versus Osirian kinship, positive versus hostile Set, N versus 'Osiris N', solar ascent versus Osirian status, and restoration versus later judgment — form a coherent research program. They support stratification and reconfiguration. They do not, without further evidence, establish a single intentional falsifier.</w:t>
      </w:r>
    </w:p>
    <w:p>
      <w:pPr>
        <w:pStyle w:val="Heading1"/>
      </w:pPr>
      <w:r>
        <w:t>Bibliography and research links</w:t>
      </w:r>
    </w:p>
    <w:p>
      <w:pPr>
        <w:ind w:hanging="317" w:left="317"/>
      </w:pPr>
      <w:r>
        <w:rPr>
          <w:b/>
        </w:rPr>
        <w:t xml:space="preserve">Allen, James P.. </w:t>
      </w:r>
      <w:r>
        <w:t>The Ancient Egyptian Pyramid Texts, 2nd ed.. Atlanta: SBL Press, 2015.</w:t>
      </w:r>
    </w:p>
    <w:p>
      <w:pPr>
        <w:ind w:hanging="317" w:left="317"/>
      </w:pPr>
      <w:r>
        <w:rPr>
          <w:b/>
        </w:rPr>
        <w:t xml:space="preserve">British Museum. </w:t>
      </w:r>
      <w:r>
        <w:t>Stela of Peribsen, EA35597. Collection record; 2nd Dynasty; serekh surmounted by the Seth animal.</w:t>
      </w:r>
    </w:p>
    <w:p>
      <w:pPr>
        <w:ind w:hanging="317" w:left="317"/>
      </w:pPr>
      <w:r>
        <w:rPr>
          <w:b/>
        </w:rPr>
        <w:t xml:space="preserve">Gracia Zamacona, Carlos. </w:t>
      </w:r>
      <w:r>
        <w:t>Los Textos de los Ataúdes del Egipto antiguo: Variabilidad, legitimación y diálogo. Atlanta: SBL Press, 2024.</w:t>
      </w:r>
    </w:p>
    <w:p>
      <w:pPr>
        <w:ind w:hanging="317" w:left="317"/>
      </w:pPr>
      <w:r>
        <w:rPr>
          <w:b/>
        </w:rPr>
        <w:t xml:space="preserve">Leprohon, Ronald J.. </w:t>
      </w:r>
      <w:r>
        <w:t>The Great Name: Ancient Egyptian Royal Titulary. Atlanta: SBL Press, 2013.</w:t>
      </w:r>
    </w:p>
    <w:p>
      <w:pPr>
        <w:ind w:hanging="317" w:left="317"/>
      </w:pPr>
      <w:r>
        <w:rPr>
          <w:b/>
        </w:rPr>
        <w:t xml:space="preserve">Mathieu, Bernard. </w:t>
      </w:r>
      <w:r>
        <w:t>Mais qui est donc Osiris ? Ou la politique sous le linceul de la religion. ENiM 3 (2010): 77–107.</w:t>
      </w:r>
    </w:p>
    <w:p>
      <w:pPr>
        <w:ind w:hanging="317" w:left="317"/>
      </w:pPr>
      <w:r>
        <w:rPr>
          <w:b/>
        </w:rPr>
        <w:t xml:space="preserve">Mathieu, Bernard. </w:t>
      </w:r>
      <w:r>
        <w:t>Seth polymorphe : le rival, le vaincu, l’auxiliaire. ENiM 4 (2011): 137–158.</w:t>
      </w:r>
    </w:p>
    <w:p>
      <w:pPr>
        <w:ind w:hanging="317" w:left="317"/>
      </w:pPr>
      <w:r>
        <w:rPr>
          <w:b/>
        </w:rPr>
        <w:t xml:space="preserve">Mathieu, Bernard. </w:t>
      </w:r>
      <w:r>
        <w:t>Horus : polysémie et métamorphoses. ENiM 6 (2013): 1–26.</w:t>
      </w:r>
    </w:p>
    <w:p>
      <w:pPr>
        <w:ind w:hanging="317" w:left="317"/>
      </w:pPr>
      <w:r>
        <w:rPr>
          <w:b/>
        </w:rPr>
        <w:t xml:space="preserve">Prakash, Tara. </w:t>
      </w:r>
      <w:r>
        <w:t>Egypt in the Old Kingdom (ca. 2649–2130 B.C.). The Metropolitan Museum of Art, Heilbrunn Timeline of Art History, 2019.</w:t>
      </w:r>
    </w:p>
    <w:p>
      <w:pPr>
        <w:ind w:hanging="317" w:left="317"/>
      </w:pPr>
      <w:r>
        <w:rPr>
          <w:b/>
        </w:rPr>
        <w:t xml:space="preserve">Smith, Mark. </w:t>
      </w:r>
      <w:r>
        <w:t>Following Osiris: Perspectives on the Osirian Afterlife from Four Millennia. Oxford: Oxford University Press, 2017.</w:t>
      </w:r>
    </w:p>
    <w:p>
      <w:pPr>
        <w:ind w:hanging="317" w:left="317"/>
      </w:pPr>
      <w:r>
        <w:rPr>
          <w:b/>
        </w:rPr>
        <w:t xml:space="preserve">Turner, Philip John. </w:t>
      </w:r>
      <w:r>
        <w:t>Seth – A Misrepresented God in the Ancient Egyptian Pantheon?. PhD diss., University of Manchester, 2012.</w:t>
      </w:r>
    </w:p>
    <w:p>
      <w:pPr>
        <w:ind w:hanging="317" w:left="317"/>
      </w:pPr>
      <w:r>
        <w:rPr>
          <w:b/>
        </w:rPr>
        <w:t xml:space="preserve">UCL Digital Egypt. </w:t>
      </w:r>
      <w:r>
        <w:t>The Horus Name. Digital Egypt for Universities, University College London.</w:t>
      </w:r>
    </w:p>
    <w:p>
      <w:pPr>
        <w:ind w:hanging="317" w:left="317"/>
      </w:pPr>
      <w:r>
        <w:rPr>
          <w:b/>
        </w:rPr>
        <w:t xml:space="preserve">UCL Digital Egypt. </w:t>
      </w:r>
      <w:r>
        <w:t>Book of the Dead, Chapter 125A–B. Digital Egypt for Universities, University College London.</w:t>
      </w:r>
    </w:p>
    <w:p>
      <w:pPr>
        <w:pStyle w:val="Heading2"/>
      </w:pPr>
      <w:r>
        <w:t>Online reference points used for verification</w:t>
      </w:r>
    </w:p>
    <w:p>
      <w:hyperlink r:id="rId11">
        <w:r>
          <w:rPr>
            <w:color w:val="8C6B2B"/>
            <w:u w:val="single"/>
          </w:rPr>
          <w:t>Allen — The Ancient Egyptian Pyramid Texts (SBL Press)</w:t>
        </w:r>
      </w:hyperlink>
    </w:p>
    <w:p>
      <w:hyperlink r:id="rId12">
        <w:r>
          <w:rPr>
            <w:color w:val="8C6B2B"/>
            <w:u w:val="single"/>
          </w:rPr>
          <w:t>British Museum — Stela of Peribsen EA35597</w:t>
        </w:r>
      </w:hyperlink>
    </w:p>
    <w:p>
      <w:hyperlink r:id="rId13">
        <w:r>
          <w:rPr>
            <w:color w:val="8C6B2B"/>
            <w:u w:val="single"/>
          </w:rPr>
          <w:t>Gracia Zamacona — Coffin Texts study (SBL Press)</w:t>
        </w:r>
      </w:hyperlink>
    </w:p>
    <w:p>
      <w:hyperlink r:id="rId14">
        <w:r>
          <w:rPr>
            <w:color w:val="8C6B2B"/>
            <w:u w:val="single"/>
          </w:rPr>
          <w:t>Leprohon — The Great Name (SBL Press)</w:t>
        </w:r>
      </w:hyperlink>
    </w:p>
    <w:p>
      <w:hyperlink r:id="rId15">
        <w:r>
          <w:rPr>
            <w:color w:val="8C6B2B"/>
            <w:u w:val="single"/>
          </w:rPr>
          <w:t>Bernard Mathieu — ENiM author page and articles</w:t>
        </w:r>
      </w:hyperlink>
    </w:p>
    <w:p>
      <w:hyperlink r:id="rId16">
        <w:r>
          <w:rPr>
            <w:color w:val="8C6B2B"/>
            <w:u w:val="single"/>
          </w:rPr>
          <w:t>Metropolitan Museum — Egypt in the Old Kingdom</w:t>
        </w:r>
      </w:hyperlink>
    </w:p>
    <w:p>
      <w:hyperlink r:id="rId17">
        <w:r>
          <w:rPr>
            <w:color w:val="8C6B2B"/>
            <w:u w:val="single"/>
          </w:rPr>
          <w:t>Mark Smith — Following Osiris (Oxford Academic)</w:t>
        </w:r>
      </w:hyperlink>
    </w:p>
    <w:p>
      <w:hyperlink r:id="rId18">
        <w:r>
          <w:rPr>
            <w:color w:val="8C6B2B"/>
            <w:u w:val="single"/>
          </w:rPr>
          <w:t>Philip Turner — Seth: A Misrepresented God? (Manchester)</w:t>
        </w:r>
      </w:hyperlink>
    </w:p>
    <w:p>
      <w:hyperlink r:id="rId19">
        <w:r>
          <w:rPr>
            <w:color w:val="8C6B2B"/>
            <w:u w:val="single"/>
          </w:rPr>
          <w:t>UCL Digital Egypt — The Horus Name</w:t>
        </w:r>
      </w:hyperlink>
    </w:p>
    <w:p>
      <w:hyperlink r:id="rId20">
        <w:r>
          <w:rPr>
            <w:color w:val="8C6B2B"/>
            <w:u w:val="single"/>
          </w:rPr>
          <w:t>UCL Digital Egypt — Book of the Dead Chapter 125</w:t>
        </w:r>
      </w:hyperlink>
    </w:p>
    <w:sectPr w:rsidR="00FC693F" w:rsidRPr="0006063C" w:rsidSect="00034616">
      <w:headerReference w:type="default" r:id="rId9"/>
      <w:footerReference w:type="default" r:id="rId10"/>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063"/>
        <w:sz w:val="16"/>
      </w:rPr>
      <w:t xml:space="preserve">setthetruth.org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7063"/>
        <w:sz w:val="16"/>
      </w:rPr>
      <w:t>Textual Seams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1D1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E512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51D1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51D12"/>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2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A">
    <w:name w:val="Evidence A"/>
    <w:pPr>
      <w:spacing w:after="80"/>
      <w:ind w:left="259"/>
    </w:pPr>
    <w:rPr>
      <w:rFonts w:ascii="Aptos" w:hAnsi="Aptos"/>
      <w:color w:val="375B34"/>
      <w:sz w:val="19"/>
    </w:rPr>
  </w:style>
  <w:style w:type="paragraph" w:customStyle="1" w:styleId="EvidenceB">
    <w:name w:val="Evidence B"/>
    <w:pPr>
      <w:spacing w:after="80"/>
      <w:ind w:left="259"/>
    </w:pPr>
    <w:rPr>
      <w:rFonts w:ascii="Aptos" w:hAnsi="Aptos"/>
      <w:color w:val="41546A"/>
      <w:sz w:val="19"/>
    </w:rPr>
  </w:style>
  <w:style w:type="paragraph" w:customStyle="1" w:styleId="EvidenceC">
    <w:name w:val="Evidence C"/>
    <w:pPr>
      <w:spacing w:after="80"/>
      <w:ind w:left="259"/>
    </w:pPr>
    <w:rPr>
      <w:rFonts w:ascii="Aptos" w:hAnsi="Aptos"/>
      <w:color w:val="783C3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rt.sbl-site.org/books/061538E" TargetMode="External"/><Relationship Id="rId12" Type="http://schemas.openxmlformats.org/officeDocument/2006/relationships/hyperlink" Target="https://www.britishmuseum.org/collection/object/Y_EA35597" TargetMode="External"/><Relationship Id="rId13" Type="http://schemas.openxmlformats.org/officeDocument/2006/relationships/hyperlink" Target="https://cart.sbl-site.org/books/062834P" TargetMode="External"/><Relationship Id="rId14" Type="http://schemas.openxmlformats.org/officeDocument/2006/relationships/hyperlink" Target="https://cart.sbl-site.org/books/061533C" TargetMode="External"/><Relationship Id="rId15" Type="http://schemas.openxmlformats.org/officeDocument/2006/relationships/hyperlink" Target="https://www.enim-egyptologie.fr/wp/les-actualites/img/utl/img/enim.xml?n=Mathieu&amp;p=Bernard&amp;page=auteur" TargetMode="External"/><Relationship Id="rId16" Type="http://schemas.openxmlformats.org/officeDocument/2006/relationships/hyperlink" Target="https://www.metmuseum.org/essays/egypt-in-the-old-kingdom-ca-2649-2150-b-c" TargetMode="External"/><Relationship Id="rId17" Type="http://schemas.openxmlformats.org/officeDocument/2006/relationships/hyperlink" Target="https://academic.oup.com/book/6025" TargetMode="External"/><Relationship Id="rId18" Type="http://schemas.openxmlformats.org/officeDocument/2006/relationships/hyperlink" Target="https://research.manchester.ac.uk/en/studentTheses/seth-a-misrepresented-god-in-the-ancient-egyptian-pantheon/" TargetMode="External"/><Relationship Id="rId19" Type="http://schemas.openxmlformats.org/officeDocument/2006/relationships/hyperlink" Target="https://www.ucl.ac.uk/museums-static/digitalegypt/ideology/kingname/horus.html" TargetMode="External"/><Relationship Id="rId20" Type="http://schemas.openxmlformats.org/officeDocument/2006/relationships/hyperlink" Target="https://www.ucl.ac.uk/museums-static/digitalegypt/literature/religious/bd125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