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E6A2D"/>
          <w:sz w:val="20"/>
        </w:rPr>
        <w:t>SET THE TRUTH</w:t>
      </w:r>
    </w:p>
    <w:p>
      <w:pPr>
        <w:pStyle w:val="Title"/>
        <w:jc w:val="center"/>
      </w:pPr>
      <w:r>
        <w:t>Philosophy of Liberation</w:t>
      </w:r>
    </w:p>
    <w:p>
      <w:pPr>
        <w:pStyle w:val="Subtitle"/>
        <w:jc w:val="center"/>
      </w:pPr>
      <w:r>
        <w:t>An interpretive model of post-mortem transformation and Osirian mediation</w:t>
      </w:r>
    </w:p>
    <w:p/>
    <w:p>
      <w:pPr>
        <w:jc w:val="center"/>
      </w:pPr>
      <w:r>
        <w:rPr>
          <w:b/>
          <w:color w:val="9B3A2E"/>
          <w:sz w:val="18"/>
        </w:rPr>
        <w:t>INTERPRETIVE ESSAY · LEVEL B · NOT PEER REVIEWED</w:t>
      </w:r>
    </w:p>
    <w:p>
      <w:pPr>
        <w:jc w:val="center"/>
      </w:pPr>
      <w:r>
        <w:t>Version 0.2 · 6 September 2026</w:t>
      </w:r>
    </w:p>
    <w:p>
      <w:pPr>
        <w:jc w:val="center"/>
      </w:pPr>
      <w:r>
        <w:t>Set the Truth Research Project · setthetruth.org</w:t>
      </w:r>
    </w:p>
    <w:p>
      <w:r>
        <w:br w:type="page"/>
      </w:r>
    </w:p>
    <w:p>
      <w:pPr>
        <w:pStyle w:val="Heading1"/>
      </w:pPr>
      <w:r>
        <w:t>Abstract</w:t>
      </w:r>
    </w:p>
    <w:p>
      <w:r>
        <w:t>The Philosophy of Liberation is the interpretive synthesis of the Set the Truth project. It begins from a historical observation: Egyptian mortuary concepts and royal ascent traditions predate the earliest secure evidence for Osiris, while the classical Osirian judgment scene is substantially later. The essay models the earlier system as distributed among functions of restoration, transformation, mobility, ascent and divine integration, rather than governed by one universal ruler of the dead. Osirianization is then interpreted as progressive mediation: the dead are increasingly classified through Osiris, Horus becomes the dynastic heir of Osiris, and later justification and judgment acquire central importance. The model is not presented as a literal reconstruction of one lost Egyptian creed. It is a philosophical reading of historical change designed to generate testable questions.</w:t>
      </w:r>
    </w:p>
    <w:p>
      <w:r>
        <w:rPr>
          <w:b/>
        </w:rPr>
        <w:t xml:space="preserve">Keywords: </w:t>
      </w:r>
      <w:r>
        <w:t>philosophy of religion, afterlife, Osirianization, identity, akh, heart, liberation</w:t>
      </w:r>
    </w:p>
    <w:p>
      <w:pPr>
        <w:pStyle w:val="Heading1"/>
      </w:pPr>
      <w:r>
        <w:t>Evidence levels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Pr>
          <w:p>
            <w:r>
              <w:rPr>
                <w:b/>
              </w:rPr>
              <w:t>Level</w:t>
            </w:r>
          </w:p>
        </w:tc>
        <w:tc>
          <w:tcPr>
            <w:tcW w:type="dxa" w:w="4939"/>
            <w:vAlign w:val="center"/>
          </w:tcPr>
          <w:p>
            <w:r>
              <w:rPr>
                <w:b/>
              </w:rPr>
              <w:t>Meaning</w:t>
            </w:r>
          </w:p>
        </w:tc>
      </w:tr>
      <w:tr>
        <w:tc>
          <w:tcPr>
            <w:tcW w:type="dxa" w:w="4939"/>
            <w:vAlign w:val="center"/>
          </w:tcPr>
          <w:p>
            <w:r>
              <w:t>A — Attested</w:t>
            </w:r>
          </w:p>
        </w:tc>
        <w:tc>
          <w:tcPr>
            <w:tcW w:type="dxa" w:w="4939"/>
            <w:vAlign w:val="center"/>
          </w:tcPr>
          <w:p>
            <w:r>
              <w:t>Primary text/object or a defensible descriptive statement directly supported by specialist scholarship.</w:t>
            </w:r>
          </w:p>
        </w:tc>
      </w:tr>
      <w:tr>
        <w:tc>
          <w:tcPr>
            <w:tcW w:type="dxa" w:w="4939"/>
            <w:vAlign w:val="center"/>
          </w:tcPr>
          <w:p>
            <w:r>
              <w:t>B — Reconstruction</w:t>
            </w:r>
          </w:p>
        </w:tc>
        <w:tc>
          <w:tcPr>
            <w:tcW w:type="dxa" w:w="4939"/>
            <w:vAlign w:val="center"/>
          </w:tcPr>
          <w:p>
            <w:r>
              <w:t>Historical inference from chronology, textual stratigraphy, comparison, or institutional context.</w:t>
            </w:r>
          </w:p>
        </w:tc>
      </w:tr>
      <w:tr>
        <w:tc>
          <w:tcPr>
            <w:tcW w:type="dxa" w:w="4939"/>
            <w:vAlign w:val="center"/>
          </w:tcPr>
          <w:p>
            <w:r>
              <w:t>C — Hypothesis</w:t>
            </w:r>
          </w:p>
        </w:tc>
        <w:tc>
          <w:tcPr>
            <w:tcW w:type="dxa" w:w="4939"/>
            <w:vAlign w:val="center"/>
          </w:tcPr>
          <w:p>
            <w:r>
              <w:t>Cosmological/metaphysical extension. Never used to establish an A-level historical claim.</w:t>
            </w:r>
          </w:p>
        </w:tc>
      </w:tr>
    </w:tbl>
    <w:p>
      <w:pPr>
        <w:pStyle w:val="EvidenceB"/>
      </w:pPr>
      <w:r>
        <w:t>The central methodological rule is chronological: later coherent myths are not treated as automatic descriptions of the earliest recoverable system.</w:t>
      </w:r>
    </w:p>
    <w:p>
      <w:pPr>
        <w:pStyle w:val="Heading1"/>
      </w:pPr>
      <w:r>
        <w:t>1. The philosophical problem</w:t>
      </w:r>
    </w:p>
    <w:p>
      <w:r>
        <w:t>The central question is not simply what Egyptians believed happens after death. It is who, or what, mediates continuity after death. A system can imagine survival as a transformation enabled by multiple cosmic functions, or it can imagine survival as a status granted within a jurisdiction. Both models may coexist, but they have different philosophical implications for autonomy, identity and authority.</w:t>
      </w:r>
    </w:p>
    <w:p>
      <w:pPr>
        <w:pStyle w:val="Heading1"/>
      </w:pPr>
      <w:r>
        <w:t>2. A distributed mortuary architecture</w:t>
      </w:r>
    </w:p>
    <w:p>
      <w:r>
        <w:t>The historical evidence supports speaking of multiple post-mortem operations: preservation and reconstitution of the body, restoration of the heart and mouth, continued relation with the ka, mobility of the ba, transformation into an effective akh, ascent toward the sky, association with stars, and participation in the solar cycle. No single god monopolizes all these functions in the earliest recoverable material.</w:t>
      </w:r>
    </w:p>
    <w:p>
      <w:r>
        <w:t>The Philosophy of Liberation abstracts from this plurality a 'distributed architecture'. This is not a claim that Egyptians themselves used systems theory. It is an analytical description: different divine and ritual agents perform different operations, and successful post-mortem existence results from their coordination.</w:t>
      </w:r>
    </w:p>
    <w:p>
      <w:pPr>
        <w:pStyle w:val="Heading1"/>
      </w:pPr>
      <w:r>
        <w:t>3. Nephthys as reconstitution, not as a speculative container</w:t>
      </w:r>
    </w:p>
    <w:p>
      <w:r>
        <w:t>The project initially explored whether the name of Nephthys could imply the assignment of a new 'house' or container for the person. That stronger etymological theory is not needed and is not retained as evidence. What is textually stronger is her role in reconstitution: she takes hold of the deceased and restores the heart that belongs to the body; later funerary iconography repeatedly places Isis and Nephthys around the restored dead.</w:t>
      </w:r>
    </w:p>
    <w:p>
      <w:r>
        <w:t>Philosophically, reconstitution is prior to judgment. A subject must exist as a subject before that subject can be evaluated. This chronological and logical distinction becomes important when later theology places the restored heart inside a judicial process.</w:t>
      </w:r>
    </w:p>
    <w:p>
      <w:pPr>
        <w:pStyle w:val="Heading1"/>
      </w:pPr>
      <w:r>
        <w:t>4. The heart and personal continuity</w:t>
      </w:r>
    </w:p>
    <w:p>
      <w:r>
        <w:t>The heart is not merely a physical weight in Egyptian thought. It participates in memory, intention, action and moral identity. Restoration formulas therefore reconnect a central component of personhood. Later judgment texts make that same heart a crucial participant in evaluation. The Philosophy of Liberation reads this as a shift from restoration toward conditional authorization, while recognizing that the historical evidence itself describes religious development rather than a modern political concept of surveillance.</w:t>
      </w:r>
    </w:p>
    <w:p>
      <w:pPr>
        <w:pStyle w:val="Heading1"/>
      </w:pPr>
      <w:r>
        <w:t>5. N, “Osiris N”, and mediated identity</w:t>
      </w:r>
    </w:p>
    <w:p>
      <w:r>
        <w:t>The project uses the contrast between N and 'Osiris N' as a philosophical marker. N is the personal identifier. The Osirian prefix does not erase the written name; consequently, the strongest historically responsible claim is not 'identity deletion' but 'mediated status'. The person continues to be named, yet post-mortem existence is increasingly articulated through belonging to or participation in Osiris.</w:t>
      </w:r>
    </w:p>
    <w:p>
      <w:r>
        <w:t>A useful metaphor is a change of jurisdiction rather than a change of memory. The individual remains identifiable but enters a framework whose rules, exemplars and authorities are Osirian. This metaphor remains B-level interpretation. It should not be converted into a philological translation of the formula.</w:t>
      </w:r>
    </w:p>
    <w:p>
      <w:pPr>
        <w:pStyle w:val="Heading1"/>
      </w:pPr>
      <w:r>
        <w:t>6. Horus and the extension of Osirian legitimacy into kingship</w:t>
      </w:r>
    </w:p>
    <w:p>
      <w:r>
        <w:t>Once Horus becomes the son and heir of Osiris, the Osirian system acquires a bridge between dead predecessor and living successor. The philosophical significance is continuity of authority across death: the deceased king is Osiris; the living king is Horus. Iside/Isis supplies the maternal and regenerative link in the mythic structure. This does not mean that the historical pharaoh is simply a 'terminal' controlled by Osiris; it means that later theology can define legitimate living kingship through an Osirian genealogy.</w:t>
      </w:r>
    </w:p>
    <w:p>
      <w:pPr>
        <w:pStyle w:val="Heading1"/>
      </w:pPr>
      <w:r>
        <w:t>7. Judgment as a later mediation</w:t>
      </w:r>
    </w:p>
    <w:p>
      <w:r>
        <w:t>The famous judgment before Osiris belongs to a later stage. Because Book of the Dead 125 is not attested in writing before the New Kingdom, it cannot be used as the original constitution of Egyptian afterlife belief. The Philosophy of Liberation therefore models a long movement: transformation and ascent remain active, but a judicial idiom increasingly determines the conditions under which the deceased is 'justified' and participates in an Osirian afterlife.</w:t>
      </w:r>
    </w:p>
    <w:p>
      <w:pPr>
        <w:pStyle w:val="Heading1"/>
      </w:pPr>
      <w:r>
        <w:t>8. Liberation as an interpretive category</w:t>
      </w:r>
    </w:p>
    <w:p>
      <w:r>
        <w:t>'Liberation' does not mean that every early Egyptian expected unrestricted immortality. It names the project’s philosophical preference for a model in which post-mortem transformation is a cosmic process rather than a centralized permission. The historical work must remain neutral between these values. The philosophy deliberately does not.</w:t>
      </w:r>
    </w:p>
    <w:p>
      <w:r>
        <w:t>The strongest philosophical thesis is thus conditional: if the chronological reconstruction is correct, then Egyptian religion witnessed an increasing mediation of post-mortem status through Osiris. Whether one calls that development salvation, integration, centralization or loss of autonomy depends on the philosophical framework applied to the evidence.</w:t>
      </w:r>
    </w:p>
    <w:p>
      <w:pPr>
        <w:pStyle w:val="Heading1"/>
      </w:pPr>
      <w:r>
        <w:t>9. Research predictions</w:t>
      </w:r>
    </w:p>
    <w:p>
      <w:pPr>
        <w:pStyle w:val="ListBullet"/>
      </w:pPr>
      <w:r>
        <w:t>Earlier layers should contain viable post-mortem transformation without requiring the canonical Osirian tribunal.</w:t>
      </w:r>
    </w:p>
    <w:p>
      <w:pPr>
        <w:pStyle w:val="ListBullet"/>
      </w:pPr>
      <w:r>
        <w:t>Positive Set functions should persist as residual evidence even after hostile Osirian roles become prominent.</w:t>
      </w:r>
    </w:p>
    <w:p>
      <w:pPr>
        <w:pStyle w:val="ListBullet"/>
      </w:pPr>
      <w:r>
        <w:t>Solar and stellar aspirations should remain visible inside Osirianized corpora rather than disappear immediately.</w:t>
      </w:r>
    </w:p>
    <w:p>
      <w:pPr>
        <w:pStyle w:val="ListBullet"/>
      </w:pPr>
      <w:r>
        <w:t>The formula 'Osiris N' and the importance of justification should expand historically rather than appear as an unchanged primordial system.</w:t>
      </w:r>
    </w:p>
    <w:p>
      <w:pPr>
        <w:pStyle w:val="ListBullet"/>
      </w:pPr>
      <w:r>
        <w:t>If these predictions fail, the Philosophy of Liberation must be revised independently of the cosmological hypothesis.</w:t>
      </w:r>
    </w:p>
    <w:p>
      <w:pPr>
        <w:pStyle w:val="Heading1"/>
      </w:pPr>
      <w:r>
        <w:t>10. Conclusion</w:t>
      </w:r>
    </w:p>
    <w:p>
      <w:r>
        <w:t>The Philosophy of Liberation is not a replacement for Egyptology; it depends on Egyptological chronology. Its contribution is to notice a structural question that ordinary myth summaries can hide: whether the afterlife is represented as a distributed transformation or as a status increasingly mediated by one divine complex. The evidence supports historical change; the philosophical language of liberation and control is the project's interpretation of that change.</w:t>
      </w:r>
    </w:p>
    <w:p>
      <w:pPr>
        <w:pStyle w:val="Heading1"/>
      </w:pPr>
      <w:r>
        <w:t>Bibliography and research links</w:t>
      </w:r>
    </w:p>
    <w:p>
      <w:pPr>
        <w:ind w:hanging="317" w:left="317"/>
      </w:pPr>
      <w:r>
        <w:rPr>
          <w:b/>
        </w:rPr>
        <w:t xml:space="preserve">Allen, James P.. </w:t>
      </w:r>
      <w:r>
        <w:t>The Ancient Egyptian Pyramid Texts, 2nd ed.. Atlanta: SBL Press, 2015.</w:t>
      </w:r>
    </w:p>
    <w:p>
      <w:pPr>
        <w:ind w:hanging="317" w:left="317"/>
      </w:pPr>
      <w:r>
        <w:rPr>
          <w:b/>
        </w:rPr>
        <w:t xml:space="preserve">British Museum. </w:t>
      </w:r>
      <w:r>
        <w:t>Stela of Peribsen, EA35597. Collection record; 2nd Dynasty; serekh surmounted by the Seth animal.</w:t>
      </w:r>
    </w:p>
    <w:p>
      <w:pPr>
        <w:ind w:hanging="317" w:left="317"/>
      </w:pPr>
      <w:r>
        <w:rPr>
          <w:b/>
        </w:rPr>
        <w:t xml:space="preserve">Gracia Zamacona, Carlos. </w:t>
      </w:r>
      <w:r>
        <w:t>Los Textos de los Ataúdes del Egipto antiguo: Variabilidad, legitimación y diálogo. Atlanta: SBL Press, 2024.</w:t>
      </w:r>
    </w:p>
    <w:p>
      <w:pPr>
        <w:ind w:hanging="317" w:left="317"/>
      </w:pPr>
      <w:r>
        <w:rPr>
          <w:b/>
        </w:rPr>
        <w:t xml:space="preserve">Leprohon, Ronald J.. </w:t>
      </w:r>
      <w:r>
        <w:t>The Great Name: Ancient Egyptian Royal Titulary. Atlanta: SBL Press, 2013.</w:t>
      </w:r>
    </w:p>
    <w:p>
      <w:pPr>
        <w:ind w:hanging="317" w:left="317"/>
      </w:pPr>
      <w:r>
        <w:rPr>
          <w:b/>
        </w:rPr>
        <w:t xml:space="preserve">Mathieu, Bernard. </w:t>
      </w:r>
      <w:r>
        <w:t>Mais qui est donc Osiris ? Ou la politique sous le linceul de la religion. ENiM 3 (2010): 77–107.</w:t>
      </w:r>
    </w:p>
    <w:p>
      <w:pPr>
        <w:ind w:hanging="317" w:left="317"/>
      </w:pPr>
      <w:r>
        <w:rPr>
          <w:b/>
        </w:rPr>
        <w:t xml:space="preserve">Mathieu, Bernard. </w:t>
      </w:r>
      <w:r>
        <w:t>Seth polymorphe : le rival, le vaincu, l’auxiliaire. ENiM 4 (2011): 137–158.</w:t>
      </w:r>
    </w:p>
    <w:p>
      <w:pPr>
        <w:ind w:hanging="317" w:left="317"/>
      </w:pPr>
      <w:r>
        <w:rPr>
          <w:b/>
        </w:rPr>
        <w:t xml:space="preserve">Mathieu, Bernard. </w:t>
      </w:r>
      <w:r>
        <w:t>Horus : polysémie et métamorphoses. ENiM 6 (2013): 1–26.</w:t>
      </w:r>
    </w:p>
    <w:p>
      <w:pPr>
        <w:ind w:hanging="317" w:left="317"/>
      </w:pPr>
      <w:r>
        <w:rPr>
          <w:b/>
        </w:rPr>
        <w:t xml:space="preserve">Prakash, Tara. </w:t>
      </w:r>
      <w:r>
        <w:t>Egypt in the Old Kingdom (ca. 2649–2130 B.C.). The Metropolitan Museum of Art, Heilbrunn Timeline of Art History, 2019.</w:t>
      </w:r>
    </w:p>
    <w:p>
      <w:pPr>
        <w:ind w:hanging="317" w:left="317"/>
      </w:pPr>
      <w:r>
        <w:rPr>
          <w:b/>
        </w:rPr>
        <w:t xml:space="preserve">Smith, Mark. </w:t>
      </w:r>
      <w:r>
        <w:t>Following Osiris: Perspectives on the Osirian Afterlife from Four Millennia. Oxford: Oxford University Press, 2017.</w:t>
      </w:r>
    </w:p>
    <w:p>
      <w:pPr>
        <w:ind w:hanging="317" w:left="317"/>
      </w:pPr>
      <w:r>
        <w:rPr>
          <w:b/>
        </w:rPr>
        <w:t xml:space="preserve">Turner, Philip John. </w:t>
      </w:r>
      <w:r>
        <w:t>Seth – A Misrepresented God in the Ancient Egyptian Pantheon?. PhD diss., University of Manchester, 2012.</w:t>
      </w:r>
    </w:p>
    <w:p>
      <w:pPr>
        <w:ind w:hanging="317" w:left="317"/>
      </w:pPr>
      <w:r>
        <w:rPr>
          <w:b/>
        </w:rPr>
        <w:t xml:space="preserve">UCL Digital Egypt. </w:t>
      </w:r>
      <w:r>
        <w:t>The Horus Name. Digital Egypt for Universities, University College London.</w:t>
      </w:r>
    </w:p>
    <w:p>
      <w:pPr>
        <w:ind w:hanging="317" w:left="317"/>
      </w:pPr>
      <w:r>
        <w:rPr>
          <w:b/>
        </w:rPr>
        <w:t xml:space="preserve">UCL Digital Egypt. </w:t>
      </w:r>
      <w:r>
        <w:t>Book of the Dead, Chapter 125A–B. Digital Egypt for Universities, University College London.</w:t>
      </w:r>
    </w:p>
    <w:p>
      <w:pPr>
        <w:pStyle w:val="Heading2"/>
      </w:pPr>
      <w:r>
        <w:t>Online reference points used for verification</w:t>
      </w:r>
    </w:p>
    <w:p>
      <w:hyperlink r:id="rId11">
        <w:r>
          <w:rPr>
            <w:color w:val="8C6B2B"/>
            <w:u w:val="single"/>
          </w:rPr>
          <w:t>Allen — The Ancient Egyptian Pyramid Texts (SBL Press)</w:t>
        </w:r>
      </w:hyperlink>
    </w:p>
    <w:p>
      <w:hyperlink r:id="rId12">
        <w:r>
          <w:rPr>
            <w:color w:val="8C6B2B"/>
            <w:u w:val="single"/>
          </w:rPr>
          <w:t>British Museum — Stela of Peribsen EA35597</w:t>
        </w:r>
      </w:hyperlink>
    </w:p>
    <w:p>
      <w:hyperlink r:id="rId13">
        <w:r>
          <w:rPr>
            <w:color w:val="8C6B2B"/>
            <w:u w:val="single"/>
          </w:rPr>
          <w:t>Gracia Zamacona — Coffin Texts study (SBL Press)</w:t>
        </w:r>
      </w:hyperlink>
    </w:p>
    <w:p>
      <w:hyperlink r:id="rId14">
        <w:r>
          <w:rPr>
            <w:color w:val="8C6B2B"/>
            <w:u w:val="single"/>
          </w:rPr>
          <w:t>Leprohon — The Great Name (SBL Press)</w:t>
        </w:r>
      </w:hyperlink>
    </w:p>
    <w:p>
      <w:hyperlink r:id="rId15">
        <w:r>
          <w:rPr>
            <w:color w:val="8C6B2B"/>
            <w:u w:val="single"/>
          </w:rPr>
          <w:t>Bernard Mathieu — ENiM author page and articles</w:t>
        </w:r>
      </w:hyperlink>
    </w:p>
    <w:p>
      <w:hyperlink r:id="rId16">
        <w:r>
          <w:rPr>
            <w:color w:val="8C6B2B"/>
            <w:u w:val="single"/>
          </w:rPr>
          <w:t>Metropolitan Museum — Egypt in the Old Kingdom</w:t>
        </w:r>
      </w:hyperlink>
    </w:p>
    <w:p>
      <w:hyperlink r:id="rId17">
        <w:r>
          <w:rPr>
            <w:color w:val="8C6B2B"/>
            <w:u w:val="single"/>
          </w:rPr>
          <w:t>Mark Smith — Following Osiris (Oxford Academic)</w:t>
        </w:r>
      </w:hyperlink>
    </w:p>
    <w:p>
      <w:hyperlink r:id="rId18">
        <w:r>
          <w:rPr>
            <w:color w:val="8C6B2B"/>
            <w:u w:val="single"/>
          </w:rPr>
          <w:t>Philip Turner — Seth: A Misrepresented God? (Manchester)</w:t>
        </w:r>
      </w:hyperlink>
    </w:p>
    <w:p>
      <w:hyperlink r:id="rId19">
        <w:r>
          <w:rPr>
            <w:color w:val="8C6B2B"/>
            <w:u w:val="single"/>
          </w:rPr>
          <w:t>UCL Digital Egypt — The Horus Name</w:t>
        </w:r>
      </w:hyperlink>
    </w:p>
    <w:p>
      <w:hyperlink r:id="rId20">
        <w:r>
          <w:rPr>
            <w:color w:val="8C6B2B"/>
            <w:u w:val="single"/>
          </w:rPr>
          <w:t>UCL Digital Egypt — Book of the Dead Chapter 125</w:t>
        </w:r>
      </w:hyperlink>
    </w:p>
    <w:sectPr w:rsidR="00FC693F" w:rsidRPr="0006063C" w:rsidSect="00034616">
      <w:headerReference w:type="default" r:id="rId9"/>
      <w:footerReference w:type="default" r:id="rId10"/>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063"/>
        <w:sz w:val="16"/>
      </w:rPr>
      <w:t xml:space="preserve">setthetruth.org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7063"/>
        <w:sz w:val="16"/>
      </w:rPr>
      <w:t>Philosophy of Liberation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1D1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E512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51D1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51D12"/>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2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A">
    <w:name w:val="Evidence A"/>
    <w:pPr>
      <w:spacing w:after="80"/>
      <w:ind w:left="259"/>
    </w:pPr>
    <w:rPr>
      <w:rFonts w:ascii="Aptos" w:hAnsi="Aptos"/>
      <w:color w:val="375B34"/>
      <w:sz w:val="19"/>
    </w:rPr>
  </w:style>
  <w:style w:type="paragraph" w:customStyle="1" w:styleId="EvidenceB">
    <w:name w:val="Evidence B"/>
    <w:pPr>
      <w:spacing w:after="80"/>
      <w:ind w:left="259"/>
    </w:pPr>
    <w:rPr>
      <w:rFonts w:ascii="Aptos" w:hAnsi="Aptos"/>
      <w:color w:val="41546A"/>
      <w:sz w:val="19"/>
    </w:rPr>
  </w:style>
  <w:style w:type="paragraph" w:customStyle="1" w:styleId="EvidenceC">
    <w:name w:val="Evidence C"/>
    <w:pPr>
      <w:spacing w:after="80"/>
      <w:ind w:left="259"/>
    </w:pPr>
    <w:rPr>
      <w:rFonts w:ascii="Aptos" w:hAnsi="Aptos"/>
      <w:color w:val="783C3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rt.sbl-site.org/books/061538E" TargetMode="External"/><Relationship Id="rId12" Type="http://schemas.openxmlformats.org/officeDocument/2006/relationships/hyperlink" Target="https://www.britishmuseum.org/collection/object/Y_EA35597" TargetMode="External"/><Relationship Id="rId13" Type="http://schemas.openxmlformats.org/officeDocument/2006/relationships/hyperlink" Target="https://cart.sbl-site.org/books/062834P" TargetMode="External"/><Relationship Id="rId14" Type="http://schemas.openxmlformats.org/officeDocument/2006/relationships/hyperlink" Target="https://cart.sbl-site.org/books/061533C" TargetMode="External"/><Relationship Id="rId15" Type="http://schemas.openxmlformats.org/officeDocument/2006/relationships/hyperlink" Target="https://www.enim-egyptologie.fr/wp/les-actualites/img/utl/img/enim.xml?n=Mathieu&amp;p=Bernard&amp;page=auteur" TargetMode="External"/><Relationship Id="rId16" Type="http://schemas.openxmlformats.org/officeDocument/2006/relationships/hyperlink" Target="https://www.metmuseum.org/essays/egypt-in-the-old-kingdom-ca-2649-2150-b-c" TargetMode="External"/><Relationship Id="rId17" Type="http://schemas.openxmlformats.org/officeDocument/2006/relationships/hyperlink" Target="https://academic.oup.com/book/6025" TargetMode="External"/><Relationship Id="rId18" Type="http://schemas.openxmlformats.org/officeDocument/2006/relationships/hyperlink" Target="https://research.manchester.ac.uk/en/studentTheses/seth-a-misrepresented-god-in-the-ancient-egyptian-pantheon/" TargetMode="External"/><Relationship Id="rId19" Type="http://schemas.openxmlformats.org/officeDocument/2006/relationships/hyperlink" Target="https://www.ucl.ac.uk/museums-static/digitalegypt/ideology/kingname/horus.html" TargetMode="External"/><Relationship Id="rId20" Type="http://schemas.openxmlformats.org/officeDocument/2006/relationships/hyperlink" Target="https://www.ucl.ac.uk/museums-static/digitalegypt/literature/religious/bd125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