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8E6A2D"/>
          <w:sz w:val="20"/>
        </w:rPr>
        <w:t>SET THE TRUTH</w:t>
      </w:r>
    </w:p>
    <w:p>
      <w:pPr>
        <w:pStyle w:val="Title"/>
        <w:jc w:val="center"/>
      </w:pPr>
      <w:r>
        <w:t>Cosmological Extension</w:t>
      </w:r>
    </w:p>
    <w:p>
      <w:pPr>
        <w:pStyle w:val="Subtitle"/>
        <w:jc w:val="center"/>
      </w:pPr>
      <w:r>
        <w:t>A speculative model, its boundaries, and falsifiability criteria</w:t>
      </w:r>
    </w:p>
    <w:p/>
    <w:p>
      <w:pPr>
        <w:jc w:val="center"/>
      </w:pPr>
      <w:r>
        <w:rPr>
          <w:b/>
          <w:color w:val="9B3A2E"/>
          <w:sz w:val="18"/>
        </w:rPr>
        <w:t>SPECULATIVE PAPER · LEVEL C · NOT EGYPTOLOGICAL FACT</w:t>
      </w:r>
    </w:p>
    <w:p>
      <w:pPr>
        <w:jc w:val="center"/>
      </w:pPr>
      <w:r>
        <w:t>Version 0.2 · 6 September 2026</w:t>
      </w:r>
    </w:p>
    <w:p>
      <w:pPr>
        <w:jc w:val="center"/>
      </w:pPr>
      <w:r>
        <w:t>Set the Truth Research Project · setthetruth.org</w:t>
      </w:r>
    </w:p>
    <w:p>
      <w:r>
        <w:br w:type="page"/>
      </w:r>
    </w:p>
    <w:p>
      <w:pPr>
        <w:pStyle w:val="Heading1"/>
      </w:pPr>
      <w:r>
        <w:t>Abstract</w:t>
      </w:r>
    </w:p>
    <w:p>
      <w:r>
        <w:t>This document records the cosmological extension of the Set the Truth project while deliberately separating it from the historical papers. It considers a speculative scenario in which Egyptian divine narratives encode interactions among non-human or extra-terrestrial agents, and in which mortuary transformation reflects a real process of continuity of consciousness or personhood. Osiris is hypothesized as a competing power that gains influence over the life–death cycle through theological and dynastic reconfiguration. None of these propositions is established by Egyptological evidence. The value of the model lies only in whether it can generate independent, falsifiable predictions that do not rely on reinterpretation of myth alone.</w:t>
      </w:r>
    </w:p>
    <w:p>
      <w:r>
        <w:rPr>
          <w:b/>
        </w:rPr>
        <w:t xml:space="preserve">Keywords: </w:t>
      </w:r>
      <w:r>
        <w:t>speculative cosmology, Osiris, Set, Horus, afterlife, falsifiability, non-human intelligence</w:t>
      </w:r>
    </w:p>
    <w:p>
      <w:pPr>
        <w:pStyle w:val="Heading1"/>
      </w:pPr>
      <w:r>
        <w:t>Evidence levels</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Pr>
          <w:p>
            <w:r>
              <w:rPr>
                <w:b/>
              </w:rPr>
              <w:t>Level</w:t>
            </w:r>
          </w:p>
        </w:tc>
        <w:tc>
          <w:tcPr>
            <w:tcW w:type="dxa" w:w="4939"/>
            <w:vAlign w:val="center"/>
          </w:tcPr>
          <w:p>
            <w:r>
              <w:rPr>
                <w:b/>
              </w:rPr>
              <w:t>Meaning</w:t>
            </w:r>
          </w:p>
        </w:tc>
      </w:tr>
      <w:tr>
        <w:tc>
          <w:tcPr>
            <w:tcW w:type="dxa" w:w="4939"/>
            <w:vAlign w:val="center"/>
          </w:tcPr>
          <w:p>
            <w:r>
              <w:t>A — Attested</w:t>
            </w:r>
          </w:p>
        </w:tc>
        <w:tc>
          <w:tcPr>
            <w:tcW w:type="dxa" w:w="4939"/>
            <w:vAlign w:val="center"/>
          </w:tcPr>
          <w:p>
            <w:r>
              <w:t>Primary text/object or a defensible descriptive statement directly supported by specialist scholarship.</w:t>
            </w:r>
          </w:p>
        </w:tc>
      </w:tr>
      <w:tr>
        <w:tc>
          <w:tcPr>
            <w:tcW w:type="dxa" w:w="4939"/>
            <w:vAlign w:val="center"/>
          </w:tcPr>
          <w:p>
            <w:r>
              <w:t>B — Reconstruction</w:t>
            </w:r>
          </w:p>
        </w:tc>
        <w:tc>
          <w:tcPr>
            <w:tcW w:type="dxa" w:w="4939"/>
            <w:vAlign w:val="center"/>
          </w:tcPr>
          <w:p>
            <w:r>
              <w:t>Historical inference from chronology, textual stratigraphy, comparison, or institutional context.</w:t>
            </w:r>
          </w:p>
        </w:tc>
      </w:tr>
      <w:tr>
        <w:tc>
          <w:tcPr>
            <w:tcW w:type="dxa" w:w="4939"/>
            <w:vAlign w:val="center"/>
          </w:tcPr>
          <w:p>
            <w:r>
              <w:t>C — Hypothesis</w:t>
            </w:r>
          </w:p>
        </w:tc>
        <w:tc>
          <w:tcPr>
            <w:tcW w:type="dxa" w:w="4939"/>
            <w:vAlign w:val="center"/>
          </w:tcPr>
          <w:p>
            <w:r>
              <w:t>Cosmological/metaphysical extension. Never used to establish an A-level historical claim.</w:t>
            </w:r>
          </w:p>
        </w:tc>
      </w:tr>
    </w:tbl>
    <w:p>
      <w:pPr>
        <w:pStyle w:val="EvidenceB"/>
      </w:pPr>
      <w:r>
        <w:t>The central methodological rule is chronological: later coherent myths are not treated as automatic descriptions of the earliest recoverable system.</w:t>
      </w:r>
    </w:p>
    <w:p>
      <w:pPr>
        <w:pStyle w:val="Heading1"/>
      </w:pPr>
      <w:r>
        <w:t>1. Boundary condition</w:t>
      </w:r>
    </w:p>
    <w:p>
      <w:r>
        <w:t>The historical papers establish, at most, a changing religious system. They do not establish extraterrestrial origin, interdimensional travel, technological resurrection, Pleroma, or the physical survival of ba/ka/akh. Those claims require independent evidence from archaeology, physics, biology or another empirical domain. This document therefore begins where historical inference ends.</w:t>
      </w:r>
    </w:p>
    <w:p>
      <w:pPr>
        <w:pStyle w:val="Heading1"/>
      </w:pPr>
      <w:r>
        <w:t>2. The speculative scenario</w:t>
      </w:r>
    </w:p>
    <w:p>
      <w:r>
        <w:t>The model imagines an originating civilization or group that either created, modified or administered human life and possessed a method for preserving personal continuity after biological death. Egyptian mortuary language is treated, hypothetically, as a cultural encoding of that process. Ra is associated with an earlier celestial destination; Nephthys with reconstitution; Horus and Set with competing or complementary operational powers.</w:t>
      </w:r>
    </w:p>
    <w:p>
      <w:r>
        <w:t>Osiris is then hypothesized as belonging to a competing power structure. Rather than winning solely by direct force, the Osirian system gains control through the interfaces of succession and post-mortem mediation: Horus becomes son and heir of Osiris in the world of the living; the deceased becomes 'Osiris N' in the world of the dead; later judgment formalizes the conditions of access.</w:t>
      </w:r>
    </w:p>
    <w:p>
      <w:pPr>
        <w:pStyle w:val="Heading1"/>
      </w:pPr>
      <w:r>
        <w:t>3. What the Egyptian evidence actually contributes</w:t>
      </w:r>
    </w:p>
    <w:p>
      <w:r>
        <w:t>Egyptological evidence contributes only structural correspondences: Horus and Set are earlier than secure Osiris evidence; Osiris rises in Dynasty 5; Horus acquires a developed filial relation to Osiris; Set is recoded as aggressor; Osirian status expands; and canonical judgment is later. These facts are compatible with many ordinary historical explanations. Compatibility is not confirmation of the cosmological model.</w:t>
      </w:r>
    </w:p>
    <w:p>
      <w:pPr>
        <w:pStyle w:val="Heading1"/>
      </w:pPr>
      <w:r>
        <w:t>4. The “Othello” metaphor</w:t>
      </w:r>
    </w:p>
    <w:p>
      <w:r>
        <w:t>The project uses the board game Othello as a metaphor for 'Osiris N': the individual identifier N remains visible, but the piece is now classified within the Osirian field. This metaphor is intentionally non-philological. It illustrates the hypothesis of changed allegiance or system membership; it is not a translation of Egyptian grammar.</w:t>
      </w:r>
    </w:p>
    <w:p>
      <w:pPr>
        <w:pStyle w:val="Heading1"/>
      </w:pPr>
      <w:r>
        <w:t>5. Necessary independent predictions</w:t>
      </w:r>
    </w:p>
    <w:p>
      <w:pPr>
        <w:pStyle w:val="ListBullet"/>
      </w:pPr>
      <w:r>
        <w:t>A real non-human intervention model should predict material evidence that is not already explained by ordinary Egyptian technology or cultural development.</w:t>
      </w:r>
    </w:p>
    <w:p>
      <w:pPr>
        <w:pStyle w:val="ListBullet"/>
      </w:pPr>
      <w:r>
        <w:t>A post-mortem continuity mechanism should produce independently measurable phenomena connected to information persistence, not merely mythic descriptions.</w:t>
      </w:r>
    </w:p>
    <w:p>
      <w:pPr>
        <w:pStyle w:val="ListBullet"/>
      </w:pPr>
      <w:r>
        <w:t>If an external Osirian power existed, evidence should be geographically or chronologically discontinuous in a way that ordinary cult diffusion cannot explain.</w:t>
      </w:r>
    </w:p>
    <w:p>
      <w:pPr>
        <w:pStyle w:val="ListBullet"/>
      </w:pPr>
      <w:r>
        <w:t>The model should identify at least one observation that would count against it. A theory that reinterprets every possible outcome as confirmation is not falsifiable.</w:t>
      </w:r>
    </w:p>
    <w:p>
      <w:pPr>
        <w:pStyle w:val="ListBullet"/>
      </w:pPr>
      <w:r>
        <w:t>Textual contradictions alone can support stratification but cannot distinguish human theological change from non-human intervention.</w:t>
      </w:r>
    </w:p>
    <w:p>
      <w:pPr>
        <w:pStyle w:val="Heading1"/>
      </w:pPr>
      <w:r>
        <w:t>6. Disconfirmation criteria</w:t>
      </w:r>
    </w:p>
    <w:p>
      <w:r>
        <w:t>The cosmological model should be rejected or radically reduced if its predictions collapse into ordinary historical explanations, if alleged technological evidence cannot be independently verified, or if the textual sequence is better explained by local cult variation and normal religious development. The historical papers must remain publishable even if the cosmological model fails completely.</w:t>
      </w:r>
    </w:p>
    <w:p>
      <w:pPr>
        <w:pStyle w:val="Heading1"/>
      </w:pPr>
      <w:r>
        <w:t>7. Research ethics and communication</w:t>
      </w:r>
    </w:p>
    <w:p>
      <w:r>
        <w:t>When communicating with Egyptologists, archaeologists or historians, this cosmological extension should not be sent as the primary paper. The scholarly discussion should begin with chronology, primary texts and stratification. The speculative model can be supplied only when explicitly relevant, with a clear statement that it is not presented as established fact.</w:t>
      </w:r>
    </w:p>
    <w:p>
      <w:pPr>
        <w:pStyle w:val="Heading1"/>
      </w:pPr>
      <w:r>
        <w:t>8. Conclusion</w:t>
      </w:r>
    </w:p>
    <w:p>
      <w:r>
        <w:t>The cosmological extension is a hypothesis generator, not the evidentiary foundation of Set the Truth. Its legitimacy depends on independent tests. The project’s historical claim — that Set’s roles and the Egyptian afterlife were reconfigured across time — must stand or fall on Egyptian evidence alone.</w:t>
      </w:r>
    </w:p>
    <w:p>
      <w:pPr>
        <w:pStyle w:val="Heading1"/>
      </w:pPr>
      <w:r>
        <w:t>Bibliography and research links</w:t>
      </w:r>
    </w:p>
    <w:p>
      <w:pPr>
        <w:ind w:hanging="317" w:left="317"/>
      </w:pPr>
      <w:r>
        <w:rPr>
          <w:b/>
        </w:rPr>
        <w:t xml:space="preserve">Allen, James P.. </w:t>
      </w:r>
      <w:r>
        <w:t>The Ancient Egyptian Pyramid Texts, 2nd ed.. Atlanta: SBL Press, 2015.</w:t>
      </w:r>
    </w:p>
    <w:p>
      <w:pPr>
        <w:ind w:hanging="317" w:left="317"/>
      </w:pPr>
      <w:r>
        <w:rPr>
          <w:b/>
        </w:rPr>
        <w:t xml:space="preserve">British Museum. </w:t>
      </w:r>
      <w:r>
        <w:t>Stela of Peribsen, EA35597. Collection record; 2nd Dynasty; serekh surmounted by the Seth animal.</w:t>
      </w:r>
    </w:p>
    <w:p>
      <w:pPr>
        <w:ind w:hanging="317" w:left="317"/>
      </w:pPr>
      <w:r>
        <w:rPr>
          <w:b/>
        </w:rPr>
        <w:t xml:space="preserve">Gracia Zamacona, Carlos. </w:t>
      </w:r>
      <w:r>
        <w:t>Los Textos de los Ataúdes del Egipto antiguo: Variabilidad, legitimación y diálogo. Atlanta: SBL Press, 2024.</w:t>
      </w:r>
    </w:p>
    <w:p>
      <w:pPr>
        <w:ind w:hanging="317" w:left="317"/>
      </w:pPr>
      <w:r>
        <w:rPr>
          <w:b/>
        </w:rPr>
        <w:t xml:space="preserve">Leprohon, Ronald J.. </w:t>
      </w:r>
      <w:r>
        <w:t>The Great Name: Ancient Egyptian Royal Titulary. Atlanta: SBL Press, 2013.</w:t>
      </w:r>
    </w:p>
    <w:p>
      <w:pPr>
        <w:ind w:hanging="317" w:left="317"/>
      </w:pPr>
      <w:r>
        <w:rPr>
          <w:b/>
        </w:rPr>
        <w:t xml:space="preserve">Mathieu, Bernard. </w:t>
      </w:r>
      <w:r>
        <w:t>Mais qui est donc Osiris ? Ou la politique sous le linceul de la religion. ENiM 3 (2010): 77–107.</w:t>
      </w:r>
    </w:p>
    <w:p>
      <w:pPr>
        <w:ind w:hanging="317" w:left="317"/>
      </w:pPr>
      <w:r>
        <w:rPr>
          <w:b/>
        </w:rPr>
        <w:t xml:space="preserve">Mathieu, Bernard. </w:t>
      </w:r>
      <w:r>
        <w:t>Seth polymorphe : le rival, le vaincu, l’auxiliaire. ENiM 4 (2011): 137–158.</w:t>
      </w:r>
    </w:p>
    <w:p>
      <w:pPr>
        <w:ind w:hanging="317" w:left="317"/>
      </w:pPr>
      <w:r>
        <w:rPr>
          <w:b/>
        </w:rPr>
        <w:t xml:space="preserve">Mathieu, Bernard. </w:t>
      </w:r>
      <w:r>
        <w:t>Horus : polysémie et métamorphoses. ENiM 6 (2013): 1–26.</w:t>
      </w:r>
    </w:p>
    <w:p>
      <w:pPr>
        <w:ind w:hanging="317" w:left="317"/>
      </w:pPr>
      <w:r>
        <w:rPr>
          <w:b/>
        </w:rPr>
        <w:t xml:space="preserve">Prakash, Tara. </w:t>
      </w:r>
      <w:r>
        <w:t>Egypt in the Old Kingdom (ca. 2649–2130 B.C.). The Metropolitan Museum of Art, Heilbrunn Timeline of Art History, 2019.</w:t>
      </w:r>
    </w:p>
    <w:p>
      <w:pPr>
        <w:ind w:hanging="317" w:left="317"/>
      </w:pPr>
      <w:r>
        <w:rPr>
          <w:b/>
        </w:rPr>
        <w:t xml:space="preserve">Smith, Mark. </w:t>
      </w:r>
      <w:r>
        <w:t>Following Osiris: Perspectives on the Osirian Afterlife from Four Millennia. Oxford: Oxford University Press, 2017.</w:t>
      </w:r>
    </w:p>
    <w:p>
      <w:pPr>
        <w:ind w:hanging="317" w:left="317"/>
      </w:pPr>
      <w:r>
        <w:rPr>
          <w:b/>
        </w:rPr>
        <w:t xml:space="preserve">Turner, Philip John. </w:t>
      </w:r>
      <w:r>
        <w:t>Seth – A Misrepresented God in the Ancient Egyptian Pantheon?. PhD diss., University of Manchester, 2012.</w:t>
      </w:r>
    </w:p>
    <w:p>
      <w:pPr>
        <w:ind w:hanging="317" w:left="317"/>
      </w:pPr>
      <w:r>
        <w:rPr>
          <w:b/>
        </w:rPr>
        <w:t xml:space="preserve">UCL Digital Egypt. </w:t>
      </w:r>
      <w:r>
        <w:t>The Horus Name. Digital Egypt for Universities, University College London.</w:t>
      </w:r>
    </w:p>
    <w:p>
      <w:pPr>
        <w:ind w:hanging="317" w:left="317"/>
      </w:pPr>
      <w:r>
        <w:rPr>
          <w:b/>
        </w:rPr>
        <w:t xml:space="preserve">UCL Digital Egypt. </w:t>
      </w:r>
      <w:r>
        <w:t>Book of the Dead, Chapter 125A–B. Digital Egypt for Universities, University College London.</w:t>
      </w:r>
    </w:p>
    <w:p>
      <w:pPr>
        <w:pStyle w:val="Heading2"/>
      </w:pPr>
      <w:r>
        <w:t>Online reference points used for verification</w:t>
      </w:r>
    </w:p>
    <w:p>
      <w:hyperlink r:id="rId11">
        <w:r>
          <w:rPr>
            <w:color w:val="8C6B2B"/>
            <w:u w:val="single"/>
          </w:rPr>
          <w:t>Allen — The Ancient Egyptian Pyramid Texts (SBL Press)</w:t>
        </w:r>
      </w:hyperlink>
    </w:p>
    <w:p>
      <w:hyperlink r:id="rId12">
        <w:r>
          <w:rPr>
            <w:color w:val="8C6B2B"/>
            <w:u w:val="single"/>
          </w:rPr>
          <w:t>British Museum — Stela of Peribsen EA35597</w:t>
        </w:r>
      </w:hyperlink>
    </w:p>
    <w:p>
      <w:hyperlink r:id="rId13">
        <w:r>
          <w:rPr>
            <w:color w:val="8C6B2B"/>
            <w:u w:val="single"/>
          </w:rPr>
          <w:t>Gracia Zamacona — Coffin Texts study (SBL Press)</w:t>
        </w:r>
      </w:hyperlink>
    </w:p>
    <w:p>
      <w:hyperlink r:id="rId14">
        <w:r>
          <w:rPr>
            <w:color w:val="8C6B2B"/>
            <w:u w:val="single"/>
          </w:rPr>
          <w:t>Leprohon — The Great Name (SBL Press)</w:t>
        </w:r>
      </w:hyperlink>
    </w:p>
    <w:p>
      <w:hyperlink r:id="rId15">
        <w:r>
          <w:rPr>
            <w:color w:val="8C6B2B"/>
            <w:u w:val="single"/>
          </w:rPr>
          <w:t>Bernard Mathieu — ENiM author page and articles</w:t>
        </w:r>
      </w:hyperlink>
    </w:p>
    <w:p>
      <w:hyperlink r:id="rId16">
        <w:r>
          <w:rPr>
            <w:color w:val="8C6B2B"/>
            <w:u w:val="single"/>
          </w:rPr>
          <w:t>Metropolitan Museum — Egypt in the Old Kingdom</w:t>
        </w:r>
      </w:hyperlink>
    </w:p>
    <w:p>
      <w:hyperlink r:id="rId17">
        <w:r>
          <w:rPr>
            <w:color w:val="8C6B2B"/>
            <w:u w:val="single"/>
          </w:rPr>
          <w:t>Mark Smith — Following Osiris (Oxford Academic)</w:t>
        </w:r>
      </w:hyperlink>
    </w:p>
    <w:p>
      <w:hyperlink r:id="rId18">
        <w:r>
          <w:rPr>
            <w:color w:val="8C6B2B"/>
            <w:u w:val="single"/>
          </w:rPr>
          <w:t>Philip Turner — Seth: A Misrepresented God? (Manchester)</w:t>
        </w:r>
      </w:hyperlink>
    </w:p>
    <w:p>
      <w:hyperlink r:id="rId19">
        <w:r>
          <w:rPr>
            <w:color w:val="8C6B2B"/>
            <w:u w:val="single"/>
          </w:rPr>
          <w:t>UCL Digital Egypt — The Horus Name</w:t>
        </w:r>
      </w:hyperlink>
    </w:p>
    <w:p>
      <w:hyperlink r:id="rId20">
        <w:r>
          <w:rPr>
            <w:color w:val="8C6B2B"/>
            <w:u w:val="single"/>
          </w:rPr>
          <w:t>UCL Digital Egypt — Book of the Dead Chapter 125</w:t>
        </w:r>
      </w:hyperlink>
    </w:p>
    <w:sectPr w:rsidR="00FC693F" w:rsidRPr="0006063C" w:rsidSect="00034616">
      <w:headerReference w:type="default" r:id="rId9"/>
      <w:footerReference w:type="default" r:id="rId10"/>
      <w:pgSz w:w="12240" w:h="15840"/>
      <w:pgMar w:top="1080" w:right="1181" w:bottom="1080"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063"/>
        <w:sz w:val="16"/>
      </w:rPr>
      <w:t xml:space="preserve">setthetruth.org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787063"/>
        <w:sz w:val="16"/>
      </w:rPr>
      <w:t>Cosmological Extension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51D1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6E512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51D1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251D12"/>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6B625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videnceA">
    <w:name w:val="Evidence A"/>
    <w:pPr>
      <w:spacing w:after="80"/>
      <w:ind w:left="259"/>
    </w:pPr>
    <w:rPr>
      <w:rFonts w:ascii="Aptos" w:hAnsi="Aptos"/>
      <w:color w:val="375B34"/>
      <w:sz w:val="19"/>
    </w:rPr>
  </w:style>
  <w:style w:type="paragraph" w:customStyle="1" w:styleId="EvidenceB">
    <w:name w:val="Evidence B"/>
    <w:pPr>
      <w:spacing w:after="80"/>
      <w:ind w:left="259"/>
    </w:pPr>
    <w:rPr>
      <w:rFonts w:ascii="Aptos" w:hAnsi="Aptos"/>
      <w:color w:val="41546A"/>
      <w:sz w:val="19"/>
    </w:rPr>
  </w:style>
  <w:style w:type="paragraph" w:customStyle="1" w:styleId="EvidenceC">
    <w:name w:val="Evidence C"/>
    <w:pPr>
      <w:spacing w:after="80"/>
      <w:ind w:left="259"/>
    </w:pPr>
    <w:rPr>
      <w:rFonts w:ascii="Aptos" w:hAnsi="Aptos"/>
      <w:color w:val="783C3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rt.sbl-site.org/books/061538E" TargetMode="External"/><Relationship Id="rId12" Type="http://schemas.openxmlformats.org/officeDocument/2006/relationships/hyperlink" Target="https://www.britishmuseum.org/collection/object/Y_EA35597" TargetMode="External"/><Relationship Id="rId13" Type="http://schemas.openxmlformats.org/officeDocument/2006/relationships/hyperlink" Target="https://cart.sbl-site.org/books/062834P" TargetMode="External"/><Relationship Id="rId14" Type="http://schemas.openxmlformats.org/officeDocument/2006/relationships/hyperlink" Target="https://cart.sbl-site.org/books/061533C" TargetMode="External"/><Relationship Id="rId15" Type="http://schemas.openxmlformats.org/officeDocument/2006/relationships/hyperlink" Target="https://www.enim-egyptologie.fr/wp/les-actualites/img/utl/img/enim.xml?n=Mathieu&amp;p=Bernard&amp;page=auteur" TargetMode="External"/><Relationship Id="rId16" Type="http://schemas.openxmlformats.org/officeDocument/2006/relationships/hyperlink" Target="https://www.metmuseum.org/essays/egypt-in-the-old-kingdom-ca-2649-2150-b-c" TargetMode="External"/><Relationship Id="rId17" Type="http://schemas.openxmlformats.org/officeDocument/2006/relationships/hyperlink" Target="https://academic.oup.com/book/6025" TargetMode="External"/><Relationship Id="rId18" Type="http://schemas.openxmlformats.org/officeDocument/2006/relationships/hyperlink" Target="https://research.manchester.ac.uk/en/studentTheses/seth-a-misrepresented-god-in-the-ancient-egyptian-pantheon/" TargetMode="External"/><Relationship Id="rId19" Type="http://schemas.openxmlformats.org/officeDocument/2006/relationships/hyperlink" Target="https://www.ucl.ac.uk/museums-static/digitalegypt/ideology/kingname/horus.html" TargetMode="External"/><Relationship Id="rId20" Type="http://schemas.openxmlformats.org/officeDocument/2006/relationships/hyperlink" Target="https://www.ucl.ac.uk/museums-static/digitalegypt/literature/religious/bd125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