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Genesi personale e ricostruzione storico-filologica</w:t>
      </w:r>
    </w:p>
    <w:p>
      <w:pPr>
        <w:pStyle w:val="Subtitle"/>
        <w:jc w:val="center"/>
      </w:pPr>
      <w:r>
        <w:t>Dall’introspezione alle fonti: nascita della Filosofia della liberazione cosmica</w:t>
      </w:r>
    </w:p>
    <w:p>
      <w:pPr>
        <w:jc w:val="center"/>
      </w:pPr>
      <w:r>
        <w:rPr>
          <w:i/>
          <w:sz w:val="18"/>
        </w:rPr>
        <w:t>Versione coordinata — 5 agosto 2026</w:t>
      </w:r>
    </w:p>
    <w:p>
      <w:r>
        <w:br w:type="page"/>
      </w:r>
    </w:p>
    <w:p>
      <w:pPr>
        <w:pStyle w:val="Heading1"/>
      </w:pPr>
      <w:r>
        <w:t>Nota d’autore</w:t>
      </w:r>
    </w:p>
    <w:p>
      <w:r>
        <w:t>Questo lavoro nasce da un percorso di introspezione personale. Alcune intuizioni si sono presentate inizialmente come domande: perché la libertà spirituale viene quasi sempre rinviata? Perché tante tradizioni descrivono l’anima come incompleta, colpevole o bisognosa di autorizzazione? Perché il ritorno all’origine viene subordinato a prove, giudizi, reincarnazioni e mediazioni sacerdotali?</w:t>
      </w:r>
    </w:p>
    <w:p>
      <w:r>
        <w:t>Non ho assunto tali intuizioni come verità rivelate. Le ho trasformate in ipotesi e, successivamente, le ho sottoposte a una ricerca storico-filologica. Il percorso è quindi: introspezione, formulazione della domanda, confronto con le fonti, distinzione tra dati e inferenze, costruzione finale della teoria.</w:t>
      </w:r>
    </w:p>
    <w:p>
      <w:pPr>
        <w:ind w:left="454" w:right="283"/>
      </w:pPr>
      <w:r>
        <w:rPr>
          <w:i/>
          <w:color w:val="2F5597"/>
        </w:rPr>
        <w:t>Le intuizioni hanno indicato la direzione della ricerca; non costituiscono la prova. La prova, dove possibile, deve provenire dai testi, dalla cronologia e dalla coerenza cumulativa dei dati.</w:t>
      </w:r>
    </w:p>
    <w:p>
      <w:pPr>
        <w:pStyle w:val="Heading1"/>
      </w:pPr>
      <w:r>
        <w:t>1. Le intuizioni iniziali</w:t>
      </w:r>
    </w:p>
    <w:p>
      <w:pPr>
        <w:pStyle w:val="ListBullet"/>
      </w:pPr>
      <w:r>
        <w:t>La componente più profonda dell’essere umano potrebbe non appartenere interamente al cosmo.</w:t>
      </w:r>
    </w:p>
    <w:p>
      <w:pPr>
        <w:pStyle w:val="ListBullet"/>
      </w:pPr>
      <w:r>
        <w:t>La reincarnazione potrebbe essere conseguenza della mancata liberazione, non una scuola obbligatoria.</w:t>
      </w:r>
    </w:p>
    <w:p>
      <w:pPr>
        <w:pStyle w:val="ListBullet"/>
      </w:pPr>
      <w:r>
        <w:t>Le prove cosmiche potrebbero differire la libertà convincendo l’anima di non essere ancora pronta.</w:t>
      </w:r>
    </w:p>
    <w:p>
      <w:pPr>
        <w:pStyle w:val="ListBullet"/>
      </w:pPr>
      <w:r>
        <w:t>Le religioni potrebbero intercettare il desiderio autentico di ritorno e reindirizzarlo verso l’autorità cosmica.</w:t>
      </w:r>
    </w:p>
    <w:p>
      <w:pPr>
        <w:pStyle w:val="ListBullet"/>
      </w:pPr>
      <w:r>
        <w:t>Il Demiurgo potrebbe essere definito non solo come entità, ma come principio di corruzione della coscienza dell’anima.</w:t>
      </w:r>
    </w:p>
    <w:p>
      <w:pPr>
        <w:pStyle w:val="Heading1"/>
      </w:pPr>
      <w:r>
        <w:t>2. Metodo di verifica</w:t>
      </w:r>
    </w:p>
    <w:p>
      <w:r>
        <w:t>Per ogni nucleo ho distinto: dato testuale; datazione; interpretazione accademica prevalente; elementi che la dimostrano; inferenze; interpretazione alternativa; grado di sostegno. Il consenso è stato considerato una delle ipotesi da verificare, non un criterio automatico di verità.</w:t>
      </w:r>
    </w:p>
    <w:p>
      <w:pPr>
        <w:pStyle w:val="Heading1"/>
      </w:pPr>
      <w:r>
        <w:t>3. La matrice egizia: Ra, Osiride e la frattura</w:t>
      </w:r>
    </w:p>
    <w:p>
      <w:pPr>
        <w:pStyle w:val="Heading2"/>
      </w:pPr>
      <w:r>
        <w:t>3.1 Dato attestato</w:t>
      </w:r>
    </w:p>
    <w:p>
      <w:r>
        <w:t>Le fonti funerarie egizie descrivono un ordine post-mortem articolato: trasformazioni, porte, giudizio, protezione rituale e identificazione del defunto con potenze divine. Osiride è sovrano dei morti e garante di continuità; Ra attraversa il mondo notturno e lo rigenera.</w:t>
      </w:r>
    </w:p>
    <w:p>
      <w:pPr>
        <w:pStyle w:val="Heading2"/>
      </w:pPr>
      <w:r>
        <w:t>3.2 Lettura proposta</w:t>
      </w:r>
    </w:p>
    <w:p>
      <w:r>
        <w:t>Nella formulazione filosofica, Ra non è ridotto al Sole fisico: il Sole è manifestazione visibile, mentre Ra rappresenta la Luce vivificante. Osiride può essere letto come simbolo dell’istituzione di una sopravvivenza amministrata nel cosmo. La frattura nasce quando la morte diventa giurisdizione e il ritorno alla Luce viene sottoposto a giudizio e condizioni.</w:t>
      </w:r>
    </w:p>
    <w:p>
      <w:r>
        <w:t>Questa opposizione non è dichiarata letteralmente dai testi egizi; è una ricostruzione filosofica fondata sull’ambivalenza tra rigenerazione luminosa e conservazione funeraria.</w:t>
      </w:r>
    </w:p>
    <w:p>
      <w:pPr>
        <w:pStyle w:val="Heading1"/>
      </w:pPr>
      <w:r>
        <w:t>4. Platone: ritorno, non curriculum zodiacale</w:t>
      </w:r>
    </w:p>
    <w:p>
      <w:r>
        <w:t>Nel Timeo le anime vengono associate alle stelle e possono ritornarvi se vivono secondo ragione. Nel Fedro e nella Repubblica compaiono caduta, giudizio e reincarnazione. Platone attribuisce una funzione correttiva alle vite successive, ma non insegna che l’anima debba attraversare tutti i dodici segni.</w:t>
      </w:r>
    </w:p>
    <w:p>
      <w:pPr>
        <w:pStyle w:val="Heading1"/>
      </w:pPr>
      <w:r>
        <w:t>5. Ermetismo: spoliazione delle sfere</w:t>
      </w:r>
    </w:p>
    <w:p>
      <w:r>
        <w:t>Nel Poimandres l’anima risale restituendo alle sfere le qualità cosmiche. Il modello antico più vicino alla liberazione cosmica è quindi quello della spoliazione: le determinazioni astrali vengono abbandonate, non integrate come curriculum obbligatorio.</w:t>
      </w:r>
    </w:p>
    <w:p>
      <w:pPr>
        <w:pStyle w:val="Heading1"/>
      </w:pPr>
      <w:r>
        <w:t>6. Gnosticismo: inganno, arconti e memoria</w:t>
      </w:r>
    </w:p>
    <w:p>
      <w:r>
        <w:t>Nei testi gnostici il Demiurgo o gli arconti ignorano la realtà superiore e impongono un ordine che può produrre oblio. La salvezza dipende dal risveglio e dalla conoscenza dell’origine. È forte il dato dell’inganno cosmico; non è invece attestata esplicitamente la frase secondo cui il Demiurgo avrebbe inventato le religioni o le prove zodiacali.</w:t>
      </w:r>
    </w:p>
    <w:p>
      <w:pPr>
        <w:pStyle w:val="Heading1"/>
      </w:pPr>
      <w:r>
        <w:t>7. La nascita moderna del percorso attraverso lo zodiaco</w:t>
      </w:r>
    </w:p>
    <w:p>
      <w:r>
        <w:t>L’antichità conosce astrologia, destino astrale e porte zodiacali, ma non offre una chiara dottrina delle dodici incarnazioni necessarie. Tra XIX e XX secolo, teosofia, rosacrocianesimo e astrologia evolutiva uniscono reincarnazione, karma, precessione e dodici archetipi. La formulazione esplicita diventa documentabile in ambiente rosacrociano moderno, soprattutto in Max Heindel.</w:t>
      </w:r>
    </w:p>
    <w:p>
      <w:pPr>
        <w:pStyle w:val="Heading1"/>
      </w:pPr>
      <w:r>
        <w:t>8. Religione, istituzione e monopolio della salvezza</w:t>
      </w:r>
    </w:p>
    <w:p>
      <w:r>
        <w:t>Nei testi cristiani antichi coesistono critica del dominio, fraternità e accesso interiore. Già all’inizio del II secolo, però, Ignazio di Antiochia concentra disciplina e validità rituale attorno al vescovo. Testi cristiani rivali, come l’Apocalisse copta di Pietro, accusano vescovi e diaconi di rivendicare falsamente autorità divina.</w:t>
      </w:r>
    </w:p>
    <w:p>
      <w:pPr>
        <w:pStyle w:val="Heading1"/>
      </w:pPr>
      <w:r>
        <w:t>9. Religione come potere storico</w:t>
      </w:r>
    </w:p>
    <w:p>
      <w:r>
        <w:t>Dall’antichità al Medioevo, templi, chiese e monasteri sono stati anche centri economici, giuridici, educativi e politici. La religione ha potuto fornire legittimazione sacra a norme, gerarchie e guerre. Questo non prova una regia metafisica del Demiurgo, ma dimostra la capacità storica del sacro di sottrarre decisioni umane alla normale contestazione.</w:t>
      </w:r>
    </w:p>
    <w:p>
      <w:pPr>
        <w:pStyle w:val="Heading1"/>
      </w:pPr>
      <w:r>
        <w:t>10. Il privilegio di parlare in nome di Dio</w:t>
      </w:r>
    </w:p>
    <w:p>
      <w:r>
        <w:t>Sacerdoti e governanti possono attribuire origine divina a intuizioni, testi o decisioni interiori. Il punto critico non è stabilire che ogni esperienza religiosa sia falsa, ma osservare l’asimmetria: la medesima esperienza soggettiva acquisisce valore pubblico quando è pronunciata da una figura autorizzata. Il sacerdozio monopolizza così non necessariamente il contatto con Dio, ma il diritto sociale di autenticarlo.</w:t>
      </w:r>
    </w:p>
    <w:p>
      <w:pPr>
        <w:pStyle w:val="Heading1"/>
      </w:pPr>
      <w:r>
        <w:t>11. Esito della ricerca</w:t>
      </w:r>
    </w:p>
    <w:p>
      <w:r>
        <w:t>Le fonti sostengono con forza: origine superiore dell’anima in alcune tradizioni; condizionamento astrale; inganno delle potenze; risveglio mediante conoscenza; istituzionalizzazione religiosa; concentrazione del potere rituale; uso politico della religione. Restano interpretazioni: Ra come Luce trascendente contrapposta all’amministrazione funeraria; Osiride come nascita della frattura; prove zodiacali come propaganda demiurgica; patto salvifico con i sacerdoti.</w:t>
      </w:r>
    </w:p>
    <w:p>
      <w:pPr>
        <w:ind w:left="454" w:right="283"/>
      </w:pPr>
      <w:r>
        <w:rPr>
          <w:i/>
          <w:color w:val="2F5597"/>
        </w:rPr>
        <w:t>La formulazione finale non è presentata come rivelazione, ma come teoria filosofica nata da introspezioni personali e costruita attraverso una verifica storica progressiva.</w:t>
      </w:r>
    </w:p>
    <w:p>
      <w:r>
        <w:br/>
      </w:r>
    </w:p>
    <w:p>
      <w:pPr>
        <w:pStyle w:val="Heading1"/>
      </w:pPr>
      <w:r>
        <w:t>12. Matrice dei gradi di sostegno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Tesi</w:t>
            </w:r>
          </w:p>
        </w:tc>
        <w:tc>
          <w:tcPr>
            <w:tcW w:type="dxa" w:w="3135"/>
          </w:tcPr>
          <w:p>
            <w:r>
              <w:t>Stato</w:t>
            </w:r>
          </w:p>
        </w:tc>
        <w:tc>
          <w:tcPr>
            <w:tcW w:type="dxa" w:w="3135"/>
          </w:tcPr>
          <w:p>
            <w:r>
              <w:t>Grado</w:t>
            </w:r>
          </w:p>
        </w:tc>
      </w:tr>
      <w:tr>
        <w:tc>
          <w:tcPr>
            <w:tcW w:type="dxa" w:w="3135"/>
          </w:tcPr>
          <w:p>
            <w:r>
              <w:t>Esistenza di itinerari post-mortem amministrati</w:t>
            </w:r>
          </w:p>
        </w:tc>
        <w:tc>
          <w:tcPr>
            <w:tcW w:type="dxa" w:w="3135"/>
          </w:tcPr>
          <w:p>
            <w:r>
              <w:t>Attestata</w:t>
            </w:r>
          </w:p>
        </w:tc>
        <w:tc>
          <w:tcPr>
            <w:tcW w:type="dxa" w:w="3135"/>
          </w:tcPr>
          <w:p>
            <w:r>
              <w:t>Forte</w:t>
            </w:r>
          </w:p>
        </w:tc>
      </w:tr>
      <w:tr>
        <w:tc>
          <w:tcPr>
            <w:tcW w:type="dxa" w:w="3135"/>
          </w:tcPr>
          <w:p>
            <w:r>
              <w:t>Risalita mediante spoliazione delle influenze astrali</w:t>
            </w:r>
          </w:p>
        </w:tc>
        <w:tc>
          <w:tcPr>
            <w:tcW w:type="dxa" w:w="3135"/>
          </w:tcPr>
          <w:p>
            <w:r>
              <w:t>Attestata nell’ermetismo</w:t>
            </w:r>
          </w:p>
        </w:tc>
        <w:tc>
          <w:tcPr>
            <w:tcW w:type="dxa" w:w="3135"/>
          </w:tcPr>
          <w:p>
            <w:r>
              <w:t>Forte</w:t>
            </w:r>
          </w:p>
        </w:tc>
      </w:tr>
      <w:tr>
        <w:tc>
          <w:tcPr>
            <w:tcW w:type="dxa" w:w="3135"/>
          </w:tcPr>
          <w:p>
            <w:r>
              <w:t>Inganno o ignoranza delle potenze cosmiche</w:t>
            </w:r>
          </w:p>
        </w:tc>
        <w:tc>
          <w:tcPr>
            <w:tcW w:type="dxa" w:w="3135"/>
          </w:tcPr>
          <w:p>
            <w:r>
              <w:t>Attestato in testi gnostici</w:t>
            </w:r>
          </w:p>
        </w:tc>
        <w:tc>
          <w:tcPr>
            <w:tcW w:type="dxa" w:w="3135"/>
          </w:tcPr>
          <w:p>
            <w:r>
              <w:t>Forte</w:t>
            </w:r>
          </w:p>
        </w:tc>
      </w:tr>
      <w:tr>
        <w:tc>
          <w:tcPr>
            <w:tcW w:type="dxa" w:w="3135"/>
          </w:tcPr>
          <w:p>
            <w:r>
              <w:t>Obbligo antico di attraversare tutti i segni</w:t>
            </w:r>
          </w:p>
        </w:tc>
        <w:tc>
          <w:tcPr>
            <w:tcW w:type="dxa" w:w="3135"/>
          </w:tcPr>
          <w:p>
            <w:r>
              <w:t>Non attestato</w:t>
            </w:r>
          </w:p>
        </w:tc>
        <w:tc>
          <w:tcPr>
            <w:tcW w:type="dxa" w:w="3135"/>
          </w:tcPr>
          <w:p>
            <w:r>
              <w:t>Assente</w:t>
            </w:r>
          </w:p>
        </w:tc>
      </w:tr>
      <w:tr>
        <w:tc>
          <w:tcPr>
            <w:tcW w:type="dxa" w:w="3135"/>
          </w:tcPr>
          <w:p>
            <w:r>
              <w:t>Curriculum zodiacale evolutivo</w:t>
            </w:r>
          </w:p>
        </w:tc>
        <w:tc>
          <w:tcPr>
            <w:tcW w:type="dxa" w:w="3135"/>
          </w:tcPr>
          <w:p>
            <w:r>
              <w:t>Attestato nell’esoterismo moderno</w:t>
            </w:r>
          </w:p>
        </w:tc>
        <w:tc>
          <w:tcPr>
            <w:tcW w:type="dxa" w:w="3135"/>
          </w:tcPr>
          <w:p>
            <w:r>
              <w:t>Forte</w:t>
            </w:r>
          </w:p>
        </w:tc>
      </w:tr>
      <w:tr>
        <w:tc>
          <w:tcPr>
            <w:tcW w:type="dxa" w:w="3135"/>
          </w:tcPr>
          <w:p>
            <w:r>
              <w:t>Religione come centro storico di potere</w:t>
            </w:r>
          </w:p>
        </w:tc>
        <w:tc>
          <w:tcPr>
            <w:tcW w:type="dxa" w:w="3135"/>
          </w:tcPr>
          <w:p>
            <w:r>
              <w:t>Ampiamente documentabile</w:t>
            </w:r>
          </w:p>
        </w:tc>
        <w:tc>
          <w:tcPr>
            <w:tcW w:type="dxa" w:w="3135"/>
          </w:tcPr>
          <w:p>
            <w:r>
              <w:t>Forte</w:t>
            </w:r>
          </w:p>
        </w:tc>
      </w:tr>
      <w:tr>
        <w:tc>
          <w:tcPr>
            <w:tcW w:type="dxa" w:w="3135"/>
          </w:tcPr>
          <w:p>
            <w:r>
              <w:t>Demiurgo come regista della corruzione religiosa</w:t>
            </w:r>
          </w:p>
        </w:tc>
        <w:tc>
          <w:tcPr>
            <w:tcW w:type="dxa" w:w="3135"/>
          </w:tcPr>
          <w:p>
            <w:r>
              <w:t>Ipotesi metafisica</w:t>
            </w:r>
          </w:p>
        </w:tc>
        <w:tc>
          <w:tcPr>
            <w:tcW w:type="dxa" w:w="3135"/>
          </w:tcPr>
          <w:p>
            <w:r>
              <w:t>Non dimostrato</w:t>
            </w:r>
          </w:p>
        </w:tc>
      </w:tr>
      <w:tr>
        <w:tc>
          <w:tcPr>
            <w:tcW w:type="dxa" w:w="3135"/>
          </w:tcPr>
          <w:p>
            <w:r>
              <w:t>Demiurgo come corruzione della coscienza</w:t>
            </w:r>
          </w:p>
        </w:tc>
        <w:tc>
          <w:tcPr>
            <w:tcW w:type="dxa" w:w="3135"/>
          </w:tcPr>
          <w:p>
            <w:r>
              <w:t>Definizione filosofica</w:t>
            </w:r>
          </w:p>
        </w:tc>
        <w:tc>
          <w:tcPr>
            <w:tcW w:type="dxa" w:w="3135"/>
          </w:tcPr>
          <w:p>
            <w:r>
              <w:t>Coerente, non empirica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86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4444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0386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66666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