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2100"/>
        <w:jc w:val="center"/>
        <w:tblLayout w:type="fixed"/>
        <w:tblLook w:firstColumn="1" w:firstRow="1" w:lastColumn="0" w:lastRow="0" w:noHBand="0" w:noVBand="1" w:val="04A0"/>
        <w:tblInd w:w="120" w:type="dxa"/>
      </w:tblPr>
      <w:tblGrid>
        <w:gridCol w:w="2100"/>
      </w:tblGrid>
      <w:tr>
        <w:tc>
          <w:tcPr>
            <w:tcW w:type="dxa" w:w="2100"/>
            <w:shd w:fill="2E74B5"/>
          </w:tcPr>
          <w:p>
            <w:r/>
          </w:p>
        </w:tc>
      </w:tr>
    </w:tbl>
    <w:p>
      <w:pPr>
        <w:pStyle w:val="Smalllabel"/>
        <w:spacing w:before="440" w:after="200"/>
      </w:pPr>
      <w:r>
        <w:rPr>
          <w:color w:val="2E74B5"/>
        </w:rPr>
        <w:t>APPENDICE I · PROVA DI COERENZA E DOCUMENTAZIONE</w:t>
      </w:r>
    </w:p>
    <w:p>
      <w:pPr>
        <w:widowControl/>
        <w:spacing w:after="140"/>
      </w:pPr>
      <w:r>
        <w:rPr>
          <w:b/>
          <w:color w:val="1F4D78"/>
        </w:rPr>
        <w:t>Verifica storico-filologica della</w:t>
        <w:br/>
        <w:t>Filosofia della liberazione cosmica</w:t>
      </w:r>
    </w:p>
    <w:p>
      <w:pPr>
        <w:widowControl/>
        <w:spacing w:after="360"/>
      </w:pPr>
      <w:r>
        <w:rPr>
          <w:color w:val="5F6B73"/>
          <w:sz w:val="26"/>
        </w:rPr>
        <w:t>Stato finale consolidato delle fonti, delle inferenze e dei limiti</w:t>
      </w:r>
    </w:p>
    <w:p>
      <w:pPr>
        <w:pStyle w:val="Authorline"/>
      </w:pPr>
      <w:r>
        <w:rPr>
          <w:rFonts w:ascii="Aptos" w:hAnsi="Aptos"/>
          <w:b/>
          <w:i w:val="0"/>
          <w:color w:val="1F4E79"/>
          <w:sz w:val="21"/>
        </w:rPr>
        <w:t>Riccardo Rolando  ·  r.rolando@outlook.com</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Principio guida</w:t>
            </w:r>
          </w:p>
          <w:p>
            <w:pPr>
              <w:spacing w:after="0" w:line="269" w:lineRule="auto"/>
            </w:pPr>
            <w:r>
              <w:rPr>
                <w:color w:val="222222"/>
                <w:sz w:val="20"/>
              </w:rPr>
              <w:t>Il documento presenta direttamente il risultato conclusivo della verifica. Ogni affermazione è classificata secondo il suo sostegno testuale; non viene ricostruita la successione delle ipotesi, delle ricerche e delle correzioni che ha condotto all’esito.</w:t>
            </w:r>
          </w:p>
        </w:tc>
      </w:tr>
    </w:tbl>
    <w:p>
      <w:pPr>
        <w:widowControl/>
        <w:spacing w:after="0"/>
      </w:pPr>
    </w:p>
    <w:p>
      <w:pPr>
        <w:widowControl/>
        <w:spacing w:before="320" w:after="40"/>
      </w:pPr>
      <w:r>
        <w:t>Edizione consolidata · 22 agosto 2026</w:t>
      </w:r>
    </w:p>
    <w:p>
      <w:pPr>
        <w:widowControl/>
        <w:spacing w:after="0"/>
      </w:pPr>
      <w:r>
        <w:rPr>
          <w:color w:val="5F6B73"/>
        </w:rPr>
        <w:t>Documento autonomo rispetto al testo filosofico divulgativo</w:t>
      </w:r>
    </w:p>
    <w:p>
      <w:pPr>
        <w:widowControl/>
      </w:pPr>
      <w:r>
        <w:br w:type="page"/>
      </w:r>
    </w:p>
    <w:p>
      <w:pPr>
        <w:pStyle w:val="Frontheading"/>
      </w:pPr>
      <w:r>
        <w:t>Abstract</w:t>
      </w:r>
    </w:p>
    <w:p>
      <w:pPr>
        <w:pStyle w:val="Frontabstract"/>
      </w:pPr>
      <w:r>
        <w:t>Lo studio verifica con metodo storico-filologico la Filosofia della liberazione cosmica, distinguendo dato testuale, cronologia, interpretazione e inferenza. Il nucleo aggiornato riguarda il Papiro Chester Beatty I: il procedimento decide la successione al posto di Osiride, non formula una condanna di Seth per l’uccisione del dio; Seth perde la carica, ma viene accolto da Ra e conserva una funzione celeste. La risposta minacciosa di Osiride interviene nel processo e precede il verdetto, mostrando un tribunale influenzabile senza provare un controllo esclusivo. Fonti tarde attestano inoltre vilificazione, cancellazioni selettive e rituali di espulsione di Seth. Dalla sua funzione più antica di difensore della barca solare il lavoro ricava la formula filosofica di una «via protetta da Seth». Un excursus archeometrico separato presenta infine il pugnale di Tutankhamon, la cui lama di ferro meteoritico è stabilita da analisi non distruttive.</w:t>
      </w:r>
    </w:p>
    <w:p>
      <w:pPr>
        <w:pStyle w:val="Frontkeywords"/>
      </w:pPr>
      <w:r>
        <w:t>Parole chiave: Testi delle Piramidi; Libro dei Morti; Osiride; Ra; Seth; Apopi; Papiro Chester Beatty I; tribunale divino; proscrizione; demonizzazione; pugnale di Tutankhamon; ferro meteoritico; libertà della coscienza.</w:t>
      </w:r>
    </w:p>
    <w:p>
      <w:pPr>
        <w:pStyle w:val="Frontheading"/>
      </w:pPr>
      <w:r>
        <w:t>Abstract (English)</w:t>
      </w:r>
    </w:p>
    <w:p>
      <w:pPr>
        <w:pStyle w:val="Frontabstract"/>
      </w:pPr>
      <w:r>
        <w:t>This study tests the Philosophy of Cosmic Liberation through a historical-philological method separating textual evidence, chronology, interpretation, and inference. Its revised core concerns Chester Beatty Papyrus I: the proceedings decide succession to the office of Osiris and do not sentence Seth for the god’s killing; Seth loses the office but is received by Re and retains a celestial function. Osiris’s forceful reply intervenes in the proceedings and immediately precedes the verdict, showing an influenceable tribunal without proving exclusive control. Later sources also attest vilification, selective erasures, and rituals expelling Seth. From his earlier role as defender of the solar barque, the study derives the philosophical formula of a “way protected by Seth.” A separate archaeometric excursus presents Tutankhamun’s dagger, whose meteoritic-iron blade is established by nondestructive analysis.</w:t>
      </w:r>
    </w:p>
    <w:p>
      <w:pPr>
        <w:pStyle w:val="Frontkeywords"/>
      </w:pPr>
      <w:r>
        <w:t>Keywords: Pyramid Texts; Book of the Dead; Osiris; Re; Seth; Apep; Chester Beatty Papyrus I; divine tribunal; proscription; demonization; Tutankhamun’s dagger; meteoritic iron; freedom of consciousness.</w:t>
      </w:r>
    </w:p>
    <w:p>
      <w:pPr>
        <w:pStyle w:val="Frontheading"/>
        <w:pageBreakBefore/>
      </w:pPr>
      <w:r>
        <w:t>Indice</w:t>
      </w:r>
    </w:p>
    <w:p>
      <w:pPr>
        <w:pStyle w:val="StaticTOC1"/>
      </w:pPr>
      <w:r>
        <w:t>1. Scopo, metodo e scala della prova</w:t>
      </w:r>
      <w:r>
        <w:tab/>
      </w:r>
      <w:r>
        <w:t>4</w:t>
      </w:r>
    </w:p>
    <w:p>
      <w:pPr>
        <w:pStyle w:val="StaticTOC1"/>
      </w:pPr>
      <w:r>
        <w:t>2. Quadro conclusivo</w:t>
      </w:r>
      <w:r>
        <w:tab/>
      </w:r>
      <w:r>
        <w:t>4</w:t>
      </w:r>
    </w:p>
    <w:p>
      <w:pPr>
        <w:pStyle w:val="StaticTOC1"/>
      </w:pPr>
      <w:r>
        <w:t>3. Cronologia minima del quadro documentario</w:t>
      </w:r>
      <w:r>
        <w:tab/>
      </w:r>
      <w:r>
        <w:t>5</w:t>
      </w:r>
    </w:p>
    <w:p>
      <w:pPr>
        <w:pStyle w:val="StaticTOC1"/>
      </w:pPr>
      <w:r>
        <w:t>4. Matrice celeste e non-sottomissione a Osiride</w:t>
      </w:r>
      <w:r>
        <w:tab/>
      </w:r>
      <w:r>
        <w:t>6</w:t>
      </w:r>
    </w:p>
    <w:p>
      <w:pPr>
        <w:pStyle w:val="StaticTOC1"/>
      </w:pPr>
      <w:r>
        <w:t>5. Osirianizzazione e amministrazione del post mortem</w:t>
      </w:r>
      <w:r>
        <w:tab/>
      </w:r>
      <w:r>
        <w:t>6</w:t>
      </w:r>
    </w:p>
    <w:p>
      <w:pPr>
        <w:pStyle w:val="StaticTOC1"/>
      </w:pPr>
      <w:r>
        <w:t>6. Custodia, restrizione e libertà del defunto</w:t>
      </w:r>
      <w:r>
        <w:tab/>
      </w:r>
      <w:r>
        <w:t>7</w:t>
      </w:r>
    </w:p>
    <w:p>
      <w:pPr>
        <w:pStyle w:val="StaticTOC1"/>
      </w:pPr>
      <w:r>
        <w:t>7. Conoscenza come libertà</w:t>
      </w:r>
      <w:r>
        <w:tab/>
      </w:r>
      <w:r>
        <w:t>7</w:t>
      </w:r>
    </w:p>
    <w:p>
      <w:pPr>
        <w:pStyle w:val="StaticTOC1"/>
      </w:pPr>
      <w:r>
        <w:t>8. Il pugnale meteoritico di Tutankhamon</w:t>
      </w:r>
      <w:r>
        <w:tab/>
      </w:r>
      <w:r>
        <w:t>8</w:t>
      </w:r>
    </w:p>
    <w:p>
      <w:pPr>
        <w:pStyle w:val="StaticTOC1"/>
      </w:pPr>
      <w:r>
        <w:t>9. Seth e la via protetta: difesa, permanenza e libertà</w:t>
      </w:r>
      <w:r>
        <w:tab/>
      </w:r>
      <w:r>
        <w:t>8</w:t>
      </w:r>
    </w:p>
    <w:p>
      <w:pPr>
        <w:pStyle w:val="StaticTOC1"/>
      </w:pPr>
      <w:r>
        <w:t>10. Seth davanti al tribunale: successione, non condanna e influenza</w:t>
      </w:r>
      <w:r>
        <w:tab/>
      </w:r>
      <w:r>
        <w:t>9</w:t>
      </w:r>
    </w:p>
    <w:p>
      <w:pPr>
        <w:pStyle w:val="StaticTOC1"/>
      </w:pPr>
      <w:r>
        <w:t>11. Cancellazione e demonizzazione di Seth</w:t>
      </w:r>
      <w:r>
        <w:tab/>
      </w:r>
      <w:r>
        <w:t>10</w:t>
      </w:r>
    </w:p>
    <w:p>
      <w:pPr>
        <w:pStyle w:val="StaticTOC1"/>
      </w:pPr>
      <w:r>
        <w:t>12. Livelli della prova e inferenza controllata</w:t>
      </w:r>
      <w:r>
        <w:tab/>
      </w:r>
      <w:r>
        <w:t>10</w:t>
      </w:r>
    </w:p>
    <w:p>
      <w:pPr>
        <w:pStyle w:val="StaticTOC1"/>
      </w:pPr>
      <w:r>
        <w:t>13. Catena probatoria e formulazione finale</w:t>
      </w:r>
      <w:r>
        <w:tab/>
      </w:r>
      <w:r>
        <w:t>11</w:t>
      </w:r>
    </w:p>
    <w:p>
      <w:pPr>
        <w:pStyle w:val="StaticTOC1"/>
      </w:pPr>
      <w:r>
        <w:t>14. Aggiornamento della ricerca e contributo originale</w:t>
      </w:r>
      <w:r>
        <w:tab/>
      </w:r>
      <w:r>
        <w:t>12</w:t>
      </w:r>
    </w:p>
    <w:p>
      <w:pPr>
        <w:pStyle w:val="StaticTOC2"/>
      </w:pPr>
      <w:r>
        <w:t>14.1 Intuizioni ora consolidate</w:t>
      </w:r>
      <w:r>
        <w:tab/>
      </w:r>
      <w:r>
        <w:t>12</w:t>
      </w:r>
    </w:p>
    <w:p>
      <w:pPr>
        <w:pStyle w:val="StaticTOC2"/>
      </w:pPr>
      <w:r>
        <w:t>14.2 Che cosa era già noto</w:t>
      </w:r>
      <w:r>
        <w:tab/>
      </w:r>
      <w:r>
        <w:t>12</w:t>
      </w:r>
    </w:p>
    <w:p>
      <w:pPr>
        <w:pStyle w:val="StaticTOC2"/>
      </w:pPr>
      <w:r>
        <w:t>14.3 Contributo specifico del presente lavoro</w:t>
      </w:r>
      <w:r>
        <w:tab/>
      </w:r>
      <w:r>
        <w:t>12</w:t>
      </w:r>
    </w:p>
    <w:p>
      <w:pPr>
        <w:pStyle w:val="StaticTOC2"/>
      </w:pPr>
      <w:r>
        <w:t>14.4 Matrice di novità</w:t>
      </w:r>
      <w:r>
        <w:tab/>
      </w:r>
      <w:r>
        <w:t>13</w:t>
      </w:r>
    </w:p>
    <w:p>
      <w:pPr>
        <w:pStyle w:val="StaticTOC2"/>
      </w:pPr>
      <w:r>
        <w:t>14.5 Fonti aggiunte per l’aggiornamento</w:t>
      </w:r>
      <w:r>
        <w:tab/>
      </w:r>
      <w:r>
        <w:t>13</w:t>
      </w:r>
    </w:p>
    <w:p>
      <w:pPr>
        <w:pStyle w:val="StaticTOC2"/>
      </w:pPr>
      <w:r>
        <w:t>14.6 Il processo di Seth e l’intervento di Osiride</w:t>
      </w:r>
      <w:r>
        <w:tab/>
      </w:r>
      <w:r>
        <w:t>14</w:t>
      </w:r>
    </w:p>
    <w:p>
      <w:pPr>
        <w:pStyle w:val="StaticTOC2"/>
      </w:pPr>
      <w:r>
        <w:t>14.7 Dalla cancellazione alla demonizzazione</w:t>
      </w:r>
      <w:r>
        <w:tab/>
      </w:r>
      <w:r>
        <w:t>14</w:t>
      </w:r>
    </w:p>
    <w:p>
      <w:pPr>
        <w:pStyle w:val="StaticTOC2"/>
      </w:pPr>
      <w:r>
        <w:t>14.8 La via protetta da Seth e il dato di Tutankhamon</w:t>
      </w:r>
      <w:r>
        <w:tab/>
      </w:r>
      <w:r>
        <w:t>15</w:t>
      </w:r>
    </w:p>
    <w:p>
      <w:pPr>
        <w:pStyle w:val="StaticTOC1"/>
      </w:pPr>
      <w:r>
        <w:t>15. Fonti primarie e studi</w:t>
      </w:r>
      <w:r>
        <w:tab/>
      </w:r>
      <w:r>
        <w:t>16</w:t>
      </w:r>
    </w:p>
    <w:p>
      <w:pPr>
        <w:pStyle w:val="StaticTOC2"/>
      </w:pPr>
      <w:r>
        <w:t>15.1 Fonti primarie e corpora</w:t>
      </w:r>
      <w:r>
        <w:tab/>
      </w:r>
      <w:r>
        <w:t>16</w:t>
      </w:r>
    </w:p>
    <w:p>
      <w:pPr>
        <w:pStyle w:val="StaticTOC2"/>
      </w:pPr>
      <w:r>
        <w:t>15.2 Studi</w:t>
      </w:r>
      <w:r>
        <w:tab/>
      </w:r>
      <w:r>
        <w:t>16</w:t>
      </w:r>
    </w:p>
    <w:p>
      <w:pPr>
        <w:pStyle w:val="StaticTOC2"/>
      </w:pPr>
      <w:r>
        <w:t>Nota conclusiva sul valore della prova</w:t>
      </w:r>
      <w:r>
        <w:tab/>
      </w:r>
      <w:r>
        <w:t>17</w:t>
      </w:r>
    </w:p>
    <w:p>
      <w:r>
        <w:br w:type="page"/>
      </w:r>
    </w:p>
    <w:p>
      <w:pPr>
        <w:pStyle w:val="Heading1"/>
        <w:keepNext/>
      </w:pPr>
      <w:r>
        <w:t>1. Scopo, metodo e scala della prova</w:t>
      </w:r>
    </w:p>
    <w:p>
      <w:pPr>
        <w:keepLines/>
        <w:widowControl/>
        <w:spacing w:after="140" w:line="276" w:lineRule="auto"/>
      </w:pPr>
      <w:r>
        <w:rPr>
          <w:b/>
          <w:color w:val="1F4D78"/>
        </w:rPr>
        <w:t xml:space="preserve">Scopo. </w:t>
      </w:r>
      <w:r>
        <w:t>Verificare quali premesse della Filosofia della liberazione cosmica siano direttamente attestate dalle fonti egizie, quali risultino da una convergenza forte e quali rimangano interpretazioni filosofiche moderne.</w:t>
      </w:r>
    </w:p>
    <w:p>
      <w:pPr>
        <w:keepLines/>
        <w:widowControl/>
        <w:spacing w:after="140" w:line="276" w:lineRule="auto"/>
      </w:pPr>
      <w:r>
        <w:rPr>
          <w:b/>
          <w:color w:val="1F4D78"/>
        </w:rPr>
        <w:t xml:space="preserve">Metodo. </w:t>
      </w:r>
      <w:r>
        <w:t>Per ogni punto si distinguono il dato testuale, la cronologia, il contesto rituale o dottrinale, l’interpretazione storica più economica e l’eventuale inferenza filosofica. Il consenso accademico è considerato un’interpretazione da controllare sulle fonti, non un criterio autonomo di verità.</w:t>
      </w:r>
    </w:p>
    <w:tbl>
      <w:tblPr>
        <w:tblW w:type="dxa" w:w="9360"/>
        <w:jc w:val="center"/>
        <w:tblLayout w:type="fixed"/>
        <w:tblLook w:firstColumn="1" w:firstRow="1" w:lastColumn="0" w:lastRow="0" w:noHBand="0" w:noVBand="1" w:val="04A0"/>
        <w:tblInd w:w="120" w:type="dxa"/>
      </w:tblPr>
      <w:tblGrid>
        <w:gridCol w:w="1750"/>
        <w:gridCol w:w="3900"/>
        <w:gridCol w:w="3710"/>
      </w:tblGrid>
      <w:tr>
        <w:trPr>
          <w:tblHeader w:val="true"/>
        </w:trPr>
        <w:tc>
          <w:tcPr>
            <w:tcW w:type="dxa" w:w="175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Grado</w:t>
            </w:r>
          </w:p>
        </w:tc>
        <w:tc>
          <w:tcPr>
            <w:tcW w:type="dxa" w:w="39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Significato</w:t>
            </w:r>
          </w:p>
        </w:tc>
        <w:tc>
          <w:tcPr>
            <w:tcW w:type="dxa" w:w="371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Uso corretto</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A · Diretto</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La fonte afferma o raffigura il punto.</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Dato storico documentato.</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B · Forte</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Più fonti convergono; resta un passaggio interpretativo controllabile.</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Conclusione prudente e sostenibile.</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C · Compatibile</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La fonte consente la lettura, ma non la impone.</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Ipotesi filosofica dichiarata.</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D · Non attestato</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Nessuna fonte compie il collegamento.</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Non attribuibile agli antichi.</w:t>
            </w:r>
          </w:p>
        </w:tc>
      </w:tr>
      <w:tr>
        <w:trPr>
          <w:cantSplit/>
        </w:trPr>
        <w:tc>
          <w:tcPr>
            <w:tcW w:type="dxa" w:w="1750"/>
            <w:vAlign w:val="center"/>
            <w:tcMar>
              <w:top w:w="100" w:type="dxa"/>
              <w:start w:w="120" w:type="dxa"/>
              <w:bottom w:w="100" w:type="dxa"/>
              <w:end w:w="120" w:type="dxa"/>
            </w:tcMar>
          </w:tcPr>
          <w:p>
            <w:pPr>
              <w:spacing w:after="0" w:line="252" w:lineRule="auto"/>
              <w:jc w:val="center"/>
            </w:pPr>
            <w:r/>
            <w:r>
              <w:rPr>
                <w:rFonts w:ascii="Calibri" w:hAnsi="Calibri"/>
                <w:b/>
                <w:color w:val="1F4D78"/>
                <w:sz w:val="18"/>
              </w:rPr>
              <w:t>E · Contraddetto</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La sequenza testuale va nella direzione opposta.</w:t>
            </w:r>
          </w:p>
        </w:tc>
        <w:tc>
          <w:tcPr>
            <w:tcW w:type="dxa" w:w="37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Formulazione da escludere o correggere.</w:t>
            </w:r>
          </w:p>
        </w:tc>
      </w:tr>
    </w:tbl>
    <w:p>
      <w:pPr>
        <w:pStyle w:val="Heading1"/>
        <w:keepNext/>
      </w:pPr>
      <w:r>
        <w:t>2. Quadro conclusivo</w:t>
      </w:r>
    </w:p>
    <w:tbl>
      <w:tblPr>
        <w:tblW w:type="dxa" w:w="9360"/>
        <w:jc w:val="center"/>
        <w:tblLayout w:type="fixed"/>
        <w:tblLook w:firstColumn="1" w:firstRow="1" w:lastColumn="0" w:lastRow="0" w:noHBand="0" w:noVBand="1" w:val="04A0"/>
        <w:tblInd w:w="120" w:type="dxa"/>
      </w:tblPr>
      <w:tblGrid>
        <w:gridCol w:w="1900"/>
        <w:gridCol w:w="2800"/>
        <w:gridCol w:w="760"/>
        <w:gridCol w:w="3900"/>
      </w:tblGrid>
      <w:tr>
        <w:trPr>
          <w:tblHeader w:val="true"/>
        </w:trPr>
        <w:tc>
          <w:tcPr>
            <w:tcW w:type="dxa" w:w="19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Questione</w:t>
            </w:r>
          </w:p>
        </w:tc>
        <w:tc>
          <w:tcPr>
            <w:tcW w:type="dxa" w:w="28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Dato decisivo</w:t>
            </w:r>
          </w:p>
        </w:tc>
        <w:tc>
          <w:tcPr>
            <w:tcW w:type="dxa" w:w="76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Esito</w:t>
            </w:r>
          </w:p>
        </w:tc>
        <w:tc>
          <w:tcPr>
            <w:tcW w:type="dxa" w:w="39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7"/>
              </w:rPr>
              <w:t>Stato finale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Matrice funeraria più antica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Ascesa a Ra e alle stelle; motivi osiriaci già compresenti.</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Plurale, fortemente celeste, solare e stellare; non soltanto osiriaca.</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Non-consegna a Osiride</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PT 213 e copie negano il controllo di Osiride sul re.</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Esiste una formula regale esplicita di non-sottomissione.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Osirianizzazione dell’aldilà</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Culto in crescita a fine V dinastia; identificazione del morto con Osiride.</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Sviluppo e sovrapposizione storica, non origine di ogni rito funerario.</w:t>
            </w:r>
          </w:p>
        </w:tc>
      </w:tr>
      <w:tr>
        <w:trPr>
          <w:cantSplit/>
        </w:trPr>
        <w:tc>
          <w:tcPr>
            <w:tcW w:type="dxa" w:w="1900"/>
            <w:vAlign w:val="center"/>
            <w:tcMar>
              <w:top w:w="100" w:type="dxa"/>
              <w:start w:w="120" w:type="dxa"/>
              <w:bottom w:w="100" w:type="dxa"/>
              <w:end w:w="120" w:type="dxa"/>
            </w:tcMar>
          </w:tcPr>
          <w:p>
            <w:pPr>
              <w:spacing w:after="0" w:line="252" w:lineRule="auto"/>
              <w:jc w:val="left"/>
            </w:pPr>
            <w:r>
              <w:rPr>
                <w:rFonts w:ascii="Calibri" w:hAnsi="Calibri"/>
                <w:b/>
                <w:color w:val="1F4D78"/>
                <w:sz w:val="17"/>
              </w:rPr>
              <w:t>Pugnale di Tutankhamon</w:t>
            </w:r>
          </w:p>
        </w:tc>
        <w:tc>
          <w:tcPr>
            <w:tcW w:type="dxa" w:w="2800"/>
            <w:vAlign w:val="center"/>
            <w:tcMar>
              <w:top w:w="100" w:type="dxa"/>
              <w:start w:w="120" w:type="dxa"/>
              <w:bottom w:w="100" w:type="dxa"/>
              <w:end w:w="120" w:type="dxa"/>
            </w:tcMar>
          </w:tcPr>
          <w:p>
            <w:pPr>
              <w:spacing w:after="0" w:line="252" w:lineRule="auto"/>
              <w:jc w:val="left"/>
            </w:pPr>
            <w:r>
              <w:rPr>
                <w:rFonts w:ascii="Calibri" w:hAnsi="Calibri"/>
                <w:b w:val="0"/>
                <w:color w:val="222222"/>
                <w:sz w:val="17"/>
              </w:rPr>
              <w:t>pXRF: Fe con 10,8% Ni e 0,58% Co; origine meteoritica della lama.</w:t>
            </w:r>
          </w:p>
        </w:tc>
        <w:tc>
          <w:tcPr>
            <w:tcW w:type="dxa" w:w="760"/>
            <w:vAlign w:val="center"/>
            <w:tcMar>
              <w:top w:w="100" w:type="dxa"/>
              <w:start w:w="120" w:type="dxa"/>
              <w:bottom w:w="100" w:type="dxa"/>
              <w:end w:w="120" w:type="dxa"/>
            </w:tcMar>
          </w:tcPr>
          <w:p>
            <w:pPr>
              <w:spacing w:after="0" w:line="252" w:lineRule="auto"/>
              <w:jc w:val="center"/>
            </w:pP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Pr>
                <w:rFonts w:ascii="Calibri" w:hAnsi="Calibri"/>
                <w:b w:val="0"/>
                <w:color w:val="222222"/>
                <w:sz w:val="17"/>
              </w:rPr>
              <w:t>Dato archeometrico solido; tecnica precisa e provenienza geografica restano discusse.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Custodia osiriaca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CT 491: sorveglianza delle anime, trattenimento delle ombre, accesso a Ra.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È attestato un apparato osiriaco di custodia e restrizione; non un carcere universale.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Libertà mediante conoscenza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Nomi, formule e porte impediscono il trattenimento e aprono la via.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La conoscenza è uno strumento rituale efficace di liberazione e mobilità.</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Ra nel Duat</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Viaggio notturno, unione con Osiride, rigenerazione e alba.</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Ra attraversa il dominio dei morti e riemerge portando nuovamente la luce.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Seth e Ra</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Seth difende la barca solare e abbatte Apopi.</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Seth non è il male assoluto; può difendere Maat e la continuità solare.</w:t>
            </w:r>
          </w:p>
        </w:tc>
      </w:tr>
      <w:tr>
        <w:trPr>
          <w:cantSplit/>
        </w:trPr>
        <w:tc>
          <w:tcPr>
            <w:tcW w:type="dxa" w:w="1900"/>
            <w:vAlign w:val="center"/>
            <w:tcMar>
              <w:top w:w="100" w:type="dxa"/>
              <w:start w:w="120" w:type="dxa"/>
              <w:bottom w:w="100" w:type="dxa"/>
              <w:end w:w="120" w:type="dxa"/>
            </w:tcMar>
          </w:tcPr>
          <w:p>
            <w:pPr>
              <w:spacing w:after="0" w:line="252" w:lineRule="auto"/>
              <w:jc w:val="left"/>
            </w:pPr>
            <w:r/>
            <w:r>
              <w:rPr>
                <w:rFonts w:ascii="Calibri" w:hAnsi="Calibri"/>
                <w:b/>
                <w:color w:val="1F4D78"/>
                <w:sz w:val="17"/>
              </w:rPr>
              <w:t>Morte di Seth</w:t>
            </w:r>
          </w:p>
        </w:tc>
        <w:tc>
          <w:tcPr>
            <w:tcW w:type="dxa" w:w="28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Vittime animali lo incorporano; testi attestano che non rimane morto.</w:t>
            </w:r>
          </w:p>
        </w:tc>
        <w:tc>
          <w:tcPr>
            <w:tcW w:type="dxa" w:w="760"/>
            <w:vAlign w:val="center"/>
            <w:tcMar>
              <w:top w:w="100" w:type="dxa"/>
              <w:start w:w="120" w:type="dxa"/>
              <w:bottom w:w="100" w:type="dxa"/>
              <w:end w:w="120" w:type="dxa"/>
            </w:tcMar>
          </w:tcPr>
          <w:p>
            <w:pPr>
              <w:spacing w:after="0" w:line="252" w:lineRule="auto"/>
              <w:jc w:val="center"/>
            </w:pPr>
            <w: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
              <w:rPr>
                <w:rFonts w:ascii="Calibri" w:hAnsi="Calibri"/>
                <w:b w:val="0"/>
                <w:color w:val="222222"/>
                <w:sz w:val="17"/>
              </w:rPr>
              <w:t>Le manifestazioni possono essere sacrificate, ma Seth non è reso definitivamente morto.</w:t>
            </w:r>
          </w:p>
        </w:tc>
      </w:tr>
      <w:tr>
        <w:trPr>
          <w:cantSplit/>
        </w:trPr>
        <w:tc>
          <w:tcPr>
            <w:tcW w:type="dxa" w:w="1900"/>
            <w:vAlign w:val="center"/>
            <w:tcMar>
              <w:top w:w="100" w:type="dxa"/>
              <w:start w:w="120" w:type="dxa"/>
              <w:bottom w:w="100" w:type="dxa"/>
              <w:end w:w="120" w:type="dxa"/>
            </w:tcMar>
          </w:tcPr>
          <w:p>
            <w:pPr>
              <w:spacing w:after="0" w:line="252" w:lineRule="auto"/>
              <w:jc w:val="left"/>
            </w:pPr>
            <w:r>
              <w:rPr>
                <w:rFonts w:ascii="Calibri" w:hAnsi="Calibri"/>
                <w:b/>
                <w:color w:val="1F4D78"/>
                <w:sz w:val="17"/>
              </w:rPr>
              <w:t>Contesa e omicidio</w:t>
            </w:r>
          </w:p>
        </w:tc>
        <w:tc>
          <w:tcPr>
            <w:tcW w:type="dxa" w:w="2800"/>
            <w:vAlign w:val="center"/>
            <w:tcMar>
              <w:top w:w="100" w:type="dxa"/>
              <w:start w:w="120" w:type="dxa"/>
              <w:bottom w:w="100" w:type="dxa"/>
              <w:end w:w="120" w:type="dxa"/>
            </w:tcMar>
          </w:tcPr>
          <w:p>
            <w:pPr>
              <w:spacing w:after="0" w:line="252" w:lineRule="auto"/>
              <w:jc w:val="left"/>
            </w:pPr>
            <w:r>
              <w:rPr>
                <w:rFonts w:ascii="Calibri" w:hAnsi="Calibri"/>
                <w:b w:val="0"/>
                <w:color w:val="222222"/>
                <w:sz w:val="17"/>
              </w:rPr>
              <w:t>Chester Beatty I giudica la successione, non emette una sentenza per l’uccisione di Osiride.</w:t>
            </w:r>
          </w:p>
        </w:tc>
        <w:tc>
          <w:tcPr>
            <w:tcW w:type="dxa" w:w="760"/>
            <w:vAlign w:val="center"/>
            <w:tcMar>
              <w:top w:w="100" w:type="dxa"/>
              <w:start w:w="120" w:type="dxa"/>
              <w:bottom w:w="100" w:type="dxa"/>
              <w:end w:w="120" w:type="dxa"/>
            </w:tcMar>
          </w:tcPr>
          <w:p>
            <w:pPr>
              <w:spacing w:after="0" w:line="252" w:lineRule="auto"/>
              <w:jc w:val="center"/>
            </w:pP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Pr>
                <w:rFonts w:ascii="Calibri" w:hAnsi="Calibri"/>
                <w:b w:val="0"/>
                <w:color w:val="222222"/>
                <w:sz w:val="17"/>
              </w:rPr>
              <w:t>Assenza di condanna in questo testimone, non assoluzione storica; il conflitto eccede il modello del semplice colpevole.</w:t>
            </w:r>
          </w:p>
        </w:tc>
      </w:tr>
      <w:tr>
        <w:trPr>
          <w:cantSplit/>
        </w:trPr>
        <w:tc>
          <w:tcPr>
            <w:tcW w:type="dxa" w:w="1900"/>
            <w:vAlign w:val="center"/>
            <w:tcMar>
              <w:top w:w="100" w:type="dxa"/>
              <w:start w:w="120" w:type="dxa"/>
              <w:bottom w:w="100" w:type="dxa"/>
              <w:end w:w="120" w:type="dxa"/>
            </w:tcMar>
          </w:tcPr>
          <w:p>
            <w:pPr/>
            <w:r>
              <w:rPr>
                <w:rFonts w:ascii="Calibri" w:hAnsi="Calibri"/>
                <w:b/>
                <w:color w:val="1F4D78"/>
                <w:sz w:val="17"/>
              </w:rPr>
              <w:t>Influenza sul tribunale</w:t>
            </w:r>
          </w:p>
        </w:tc>
        <w:tc>
          <w:tcPr>
            <w:tcW w:type="dxa" w:w="2800"/>
            <w:vAlign w:val="center"/>
            <w:tcMar>
              <w:top w:w="100" w:type="dxa"/>
              <w:start w:w="120" w:type="dxa"/>
              <w:bottom w:w="100" w:type="dxa"/>
              <w:end w:w="120" w:type="dxa"/>
            </w:tcMar>
          </w:tcPr>
          <w:p>
            <w:pPr/>
            <w:r>
              <w:rPr>
                <w:rFonts w:ascii="Calibri" w:hAnsi="Calibri"/>
                <w:b w:val="0"/>
                <w:color w:val="222222"/>
                <w:sz w:val="17"/>
              </w:rPr>
              <w:t>Le lettere di Neith e Osiride, con minacce e pressioni, orientano il procedimento.</w:t>
            </w:r>
          </w:p>
        </w:tc>
        <w:tc>
          <w:tcPr>
            <w:tcW w:type="dxa" w:w="760"/>
            <w:vAlign w:val="center"/>
            <w:tcMar>
              <w:top w:w="100" w:type="dxa"/>
              <w:start w:w="120" w:type="dxa"/>
              <w:bottom w:w="100" w:type="dxa"/>
              <w:end w:w="120" w:type="dxa"/>
            </w:tcMar>
          </w:tcPr>
          <w:p>
            <w:pPr/>
            <w:r>
              <w:rPr>
                <w:rFonts w:ascii="Calibri" w:hAnsi="Calibri"/>
                <w:b/>
                <w:color w:val="1F4D78"/>
                <w:sz w:val="17"/>
              </w:rPr>
              <w:t>A/B</w:t>
            </w:r>
          </w:p>
        </w:tc>
        <w:tc>
          <w:tcPr>
            <w:tcW w:type="dxa" w:w="3900"/>
            <w:vAlign w:val="center"/>
            <w:tcMar>
              <w:top w:w="100" w:type="dxa"/>
              <w:start w:w="120" w:type="dxa"/>
              <w:bottom w:w="100" w:type="dxa"/>
              <w:end w:w="120" w:type="dxa"/>
            </w:tcMar>
          </w:tcPr>
          <w:p>
            <w:pPr/>
            <w:r>
              <w:rPr>
                <w:rFonts w:ascii="Calibri" w:hAnsi="Calibri"/>
                <w:b w:val="0"/>
                <w:color w:val="222222"/>
                <w:sz w:val="17"/>
              </w:rPr>
              <w:t>Il collegio è influenzabile; non è provato che Osiride lo controlli interamente.</w:t>
            </w:r>
          </w:p>
        </w:tc>
      </w:tr>
      <w:tr>
        <w:trPr>
          <w:cantSplit/>
        </w:trPr>
        <w:tc>
          <w:tcPr>
            <w:tcW w:type="dxa" w:w="1900"/>
            <w:vAlign w:val="center"/>
            <w:tcMar>
              <w:top w:w="100" w:type="dxa"/>
              <w:start w:w="120" w:type="dxa"/>
              <w:bottom w:w="100" w:type="dxa"/>
              <w:end w:w="120" w:type="dxa"/>
            </w:tcMar>
          </w:tcPr>
          <w:p>
            <w:pPr>
              <w:spacing w:after="0" w:line="252" w:lineRule="auto"/>
              <w:jc w:val="left"/>
            </w:pPr>
            <w:r>
              <w:rPr>
                <w:rFonts w:ascii="Calibri" w:hAnsi="Calibri"/>
                <w:b/>
                <w:color w:val="1F4D78"/>
                <w:sz w:val="17"/>
              </w:rPr>
              <w:t>Cancellazione e demonizzazione</w:t>
            </w:r>
          </w:p>
        </w:tc>
        <w:tc>
          <w:tcPr>
            <w:tcW w:type="dxa" w:w="2800"/>
            <w:vAlign w:val="center"/>
            <w:tcMar>
              <w:top w:w="100" w:type="dxa"/>
              <w:start w:w="120" w:type="dxa"/>
              <w:bottom w:w="100" w:type="dxa"/>
              <w:end w:w="120" w:type="dxa"/>
            </w:tcMar>
          </w:tcPr>
          <w:p>
            <w:pPr>
              <w:spacing w:after="0" w:line="252" w:lineRule="auto"/>
              <w:jc w:val="left"/>
            </w:pPr>
            <w:r>
              <w:rPr>
                <w:rFonts w:ascii="Calibri" w:hAnsi="Calibri"/>
                <w:b w:val="0"/>
                <w:color w:val="222222"/>
                <w:sz w:val="17"/>
              </w:rPr>
              <w:t>Testi di vilificazione, immagini e nomi alterati, rituali tardi di espulsione.</w:t>
            </w:r>
          </w:p>
        </w:tc>
        <w:tc>
          <w:tcPr>
            <w:tcW w:type="dxa" w:w="760"/>
            <w:vAlign w:val="center"/>
            <w:tcMar>
              <w:top w:w="100" w:type="dxa"/>
              <w:start w:w="120" w:type="dxa"/>
              <w:bottom w:w="100" w:type="dxa"/>
              <w:end w:w="120" w:type="dxa"/>
            </w:tcMar>
          </w:tcPr>
          <w:p>
            <w:pPr>
              <w:spacing w:after="0" w:line="252" w:lineRule="auto"/>
              <w:jc w:val="center"/>
            </w:pPr>
            <w:r>
              <w:rPr>
                <w:rFonts w:ascii="Calibri" w:hAnsi="Calibri"/>
                <w:b/>
                <w:color w:val="1F4D78"/>
                <w:sz w:val="17"/>
              </w:rPr>
              <w:t>A/B</w:t>
            </w:r>
          </w:p>
        </w:tc>
        <w:tc>
          <w:tcPr>
            <w:tcW w:type="dxa" w:w="3900"/>
            <w:vAlign w:val="center"/>
            <w:tcMar>
              <w:top w:w="100" w:type="dxa"/>
              <w:start w:w="120" w:type="dxa"/>
              <w:bottom w:w="100" w:type="dxa"/>
              <w:end w:w="120" w:type="dxa"/>
            </w:tcMar>
          </w:tcPr>
          <w:p>
            <w:pPr>
              <w:spacing w:after="0" w:line="252" w:lineRule="auto"/>
              <w:jc w:val="left"/>
            </w:pPr>
            <w:r>
              <w:rPr>
                <w:rFonts w:ascii="Calibri" w:hAnsi="Calibri"/>
                <w:b w:val="0"/>
                <w:color w:val="222222"/>
                <w:sz w:val="17"/>
              </w:rPr>
              <w:t>Processo reale ma selettivo, regionale e stratificato; non una cancellazione uniforme.</w:t>
            </w:r>
          </w:p>
        </w:tc>
      </w:tr>
    </w:tbl>
    <w:p>
      <w:pPr>
        <w:pStyle w:val="Heading1"/>
        <w:keepNext/>
      </w:pPr>
      <w:r>
        <w:t>3. Cronologia minima del quadro documentario</w:t>
      </w:r>
    </w:p>
    <w:tbl>
      <w:tblPr>
        <w:tblW w:type="dxa" w:w="9360"/>
        <w:jc w:val="center"/>
        <w:tblLayout w:type="fixed"/>
        <w:tblLook w:firstColumn="1" w:firstRow="1" w:lastColumn="0" w:lastRow="0" w:noHBand="0" w:noVBand="1" w:val="04A0"/>
        <w:tblInd w:w="120" w:type="dxa"/>
      </w:tblPr>
      <w:tblGrid>
        <w:gridCol w:w="2800"/>
        <w:gridCol w:w="2250"/>
        <w:gridCol w:w="4310"/>
      </w:tblGrid>
      <w:tr>
        <w:trPr>
          <w:tblHeader w:val="true"/>
        </w:trPr>
        <w:tc>
          <w:tcPr>
            <w:tcW w:type="dxa" w:w="280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Fonte o corpus</w:t>
            </w:r>
          </w:p>
        </w:tc>
        <w:tc>
          <w:tcPr>
            <w:tcW w:type="dxa" w:w="225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Data indicativa</w:t>
            </w:r>
          </w:p>
        </w:tc>
        <w:tc>
          <w:tcPr>
            <w:tcW w:type="dxa" w:w="4310"/>
            <w:vAlign w:val="center"/>
            <w:tcMar>
              <w:top w:w="100" w:type="dxa"/>
              <w:start w:w="120" w:type="dxa"/>
              <w:bottom w:w="100" w:type="dxa"/>
              <w:end w:w="120" w:type="dxa"/>
            </w:tcMar>
            <w:shd w:fill="1F4D78"/>
          </w:tcPr>
          <w:p>
            <w:pPr>
              <w:spacing w:after="0" w:line="252" w:lineRule="auto"/>
              <w:jc w:val="center"/>
            </w:pPr>
            <w:r/>
            <w:r>
              <w:rPr>
                <w:rFonts w:ascii="Calibri" w:hAnsi="Calibri"/>
                <w:b/>
                <w:color w:val="FFFFFF"/>
                <w:sz w:val="18"/>
              </w:rPr>
              <w:t>Rilevanza conclusiva</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delle Piramidi di Unas e copie</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fine XXIV-XXIII sec. a.C.</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Destino solare e stellare; non-consegna del re a Osiride.</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dei Sarcofagi</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ca. 2100-1650 a.C.</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Non-restrizione, mobilità delle componenti personali e accesso a Ra.</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Amduat</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Nuovo Regno, dalla XVIII dinastia</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Viaggio notturno, unione Ra-Osiride e rigenerazione solare.</w:t>
            </w:r>
          </w:p>
        </w:tc>
      </w:tr>
      <w:tr>
        <w:trPr>
          <w:cantSplit/>
        </w:trPr>
        <w:tc>
          <w:tcPr>
            <w:tcW w:type="dxa" w:w="2800"/>
            <w:vAlign w:val="center"/>
            <w:tcMar>
              <w:top w:w="100" w:type="dxa"/>
              <w:start w:w="120" w:type="dxa"/>
              <w:bottom w:w="100" w:type="dxa"/>
              <w:end w:w="120" w:type="dxa"/>
            </w:tcMar>
          </w:tcPr>
          <w:p>
            <w:pPr>
              <w:spacing w:after="0" w:line="252" w:lineRule="auto"/>
              <w:jc w:val="left"/>
            </w:pPr>
            <w:r>
              <w:rPr>
                <w:rFonts w:ascii="Calibri" w:hAnsi="Calibri"/>
                <w:b/>
                <w:color w:val="1F4D78"/>
                <w:sz w:val="18"/>
              </w:rPr>
              <w:t>Pugnale di Tutankhamon</w:t>
            </w:r>
          </w:p>
        </w:tc>
        <w:tc>
          <w:tcPr>
            <w:tcW w:type="dxa" w:w="2250"/>
            <w:vAlign w:val="center"/>
            <w:tcMar>
              <w:top w:w="100" w:type="dxa"/>
              <w:start w:w="120" w:type="dxa"/>
              <w:bottom w:w="100" w:type="dxa"/>
              <w:end w:w="120" w:type="dxa"/>
            </w:tcMar>
          </w:tcPr>
          <w:p>
            <w:pPr>
              <w:spacing w:after="0" w:line="252" w:lineRule="auto"/>
              <w:jc w:val="center"/>
            </w:pPr>
            <w:r>
              <w:rPr>
                <w:rFonts w:ascii="Calibri" w:hAnsi="Calibri"/>
                <w:b w:val="0"/>
                <w:color w:val="222222"/>
                <w:sz w:val="18"/>
              </w:rPr>
              <w:t>ca. XIV sec. a.C.</w:t>
            </w:r>
          </w:p>
        </w:tc>
        <w:tc>
          <w:tcPr>
            <w:tcW w:type="dxa" w:w="4310"/>
            <w:vAlign w:val="center"/>
            <w:tcMar>
              <w:top w:w="100" w:type="dxa"/>
              <w:start w:w="120" w:type="dxa"/>
              <w:bottom w:w="100" w:type="dxa"/>
              <w:end w:w="120" w:type="dxa"/>
            </w:tcMar>
          </w:tcPr>
          <w:p>
            <w:pPr>
              <w:spacing w:after="0" w:line="252" w:lineRule="auto"/>
              <w:jc w:val="left"/>
            </w:pPr>
            <w:r>
              <w:rPr>
                <w:rFonts w:ascii="Calibri" w:hAnsi="Calibri"/>
                <w:b w:val="0"/>
                <w:color w:val="222222"/>
                <w:sz w:val="18"/>
              </w:rPr>
              <w:t>Lama di ferro meteoritico in un contesto funerario regale.</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Libro dei Morti</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Nuovo Regno e fasi successive</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Uscita nel giorno, porte, formule, custodi, barca di Ra e giudizio.</w:t>
            </w:r>
          </w:p>
        </w:tc>
      </w:tr>
      <w:tr>
        <w:trPr>
          <w:cantSplit/>
        </w:trPr>
        <w:tc>
          <w:tcPr>
            <w:tcW w:type="dxa" w:w="2800"/>
            <w:vAlign w:val="center"/>
            <w:tcMar>
              <w:top w:w="100" w:type="dxa"/>
              <w:start w:w="120" w:type="dxa"/>
              <w:bottom w:w="100" w:type="dxa"/>
              <w:end w:w="120" w:type="dxa"/>
            </w:tcMar>
          </w:tcPr>
          <w:p>
            <w:pPr>
              <w:spacing w:after="0" w:line="252" w:lineRule="auto"/>
              <w:jc w:val="left"/>
            </w:pPr>
            <w:r/>
            <w:r>
              <w:rPr>
                <w:rFonts w:ascii="Calibri" w:hAnsi="Calibri"/>
                <w:b/>
                <w:color w:val="1F4D78"/>
                <w:sz w:val="18"/>
              </w:rPr>
              <w:t>Testi tardi su Seth</w:t>
            </w:r>
          </w:p>
        </w:tc>
        <w:tc>
          <w:tcPr>
            <w:tcW w:type="dxa" w:w="2250"/>
            <w:vAlign w:val="center"/>
            <w:tcMar>
              <w:top w:w="100" w:type="dxa"/>
              <w:start w:w="120" w:type="dxa"/>
              <w:bottom w:w="100" w:type="dxa"/>
              <w:end w:w="120" w:type="dxa"/>
            </w:tcMar>
          </w:tcPr>
          <w:p>
            <w:pPr>
              <w:spacing w:after="0" w:line="252" w:lineRule="auto"/>
              <w:jc w:val="center"/>
            </w:pPr>
            <w:r/>
            <w:r>
              <w:rPr>
                <w:rFonts w:ascii="Calibri" w:hAnsi="Calibri"/>
                <w:b w:val="0"/>
                <w:color w:val="222222"/>
                <w:sz w:val="18"/>
              </w:rPr>
              <w:t>età faraonica tarda e romana</w:t>
            </w:r>
          </w:p>
        </w:tc>
        <w:tc>
          <w:tcPr>
            <w:tcW w:type="dxa" w:w="4310"/>
            <w:vAlign w:val="center"/>
            <w:tcMar>
              <w:top w:w="100" w:type="dxa"/>
              <w:start w:w="120" w:type="dxa"/>
              <w:bottom w:w="100" w:type="dxa"/>
              <w:end w:w="120" w:type="dxa"/>
            </w:tcMar>
          </w:tcPr>
          <w:p>
            <w:pPr>
              <w:spacing w:after="0" w:line="252" w:lineRule="auto"/>
              <w:jc w:val="left"/>
            </w:pPr>
            <w:r/>
            <w:r>
              <w:rPr>
                <w:rFonts w:ascii="Calibri" w:hAnsi="Calibri"/>
                <w:b w:val="0"/>
                <w:color w:val="222222"/>
                <w:sz w:val="18"/>
              </w:rPr>
              <w:t>Proscrizione selettiva, sacrificio animale e non-morte definitiva.</w:t>
            </w:r>
          </w:p>
        </w:tc>
      </w:tr>
      <w:tr>
        <w:trPr>
          <w:cantSplit/>
        </w:trPr>
        <w:tc>
          <w:tcPr>
            <w:tcW w:type="dxa" w:w="2800"/>
            <w:vAlign w:val="center"/>
            <w:tcMar>
              <w:top w:w="100" w:type="dxa"/>
              <w:start w:w="120" w:type="dxa"/>
              <w:bottom w:w="100" w:type="dxa"/>
              <w:end w:w="120" w:type="dxa"/>
            </w:tcMar>
          </w:tcPr>
          <w:p>
            <w:pPr>
              <w:spacing w:after="0" w:line="252" w:lineRule="auto"/>
              <w:jc w:val="left"/>
            </w:pPr>
            <w:r>
              <w:rPr>
                <w:rFonts w:ascii="Calibri" w:hAnsi="Calibri"/>
                <w:b/>
                <w:color w:val="1F4D78"/>
                <w:sz w:val="18"/>
              </w:rPr>
              <w:t>Papiro Chester Beatty I</w:t>
            </w:r>
          </w:p>
        </w:tc>
        <w:tc>
          <w:tcPr>
            <w:tcW w:type="dxa" w:w="2250"/>
            <w:vAlign w:val="center"/>
            <w:tcMar>
              <w:top w:w="100" w:type="dxa"/>
              <w:start w:w="120" w:type="dxa"/>
              <w:bottom w:w="100" w:type="dxa"/>
              <w:end w:w="120" w:type="dxa"/>
            </w:tcMar>
          </w:tcPr>
          <w:p>
            <w:pPr>
              <w:spacing w:after="0" w:line="252" w:lineRule="auto"/>
              <w:jc w:val="center"/>
            </w:pPr>
            <w:r>
              <w:rPr>
                <w:rFonts w:ascii="Calibri" w:hAnsi="Calibri"/>
                <w:b w:val="0"/>
                <w:color w:val="222222"/>
                <w:sz w:val="18"/>
              </w:rPr>
              <w:t>XX dinastia, ca. XII sec. a.C.</w:t>
            </w:r>
          </w:p>
        </w:tc>
        <w:tc>
          <w:tcPr>
            <w:tcW w:type="dxa" w:w="4310"/>
            <w:vAlign w:val="center"/>
            <w:tcMar>
              <w:top w:w="100" w:type="dxa"/>
              <w:start w:w="120" w:type="dxa"/>
              <w:bottom w:w="100" w:type="dxa"/>
              <w:end w:w="120" w:type="dxa"/>
            </w:tcMar>
          </w:tcPr>
          <w:p>
            <w:pPr>
              <w:spacing w:after="0" w:line="252" w:lineRule="auto"/>
              <w:jc w:val="left"/>
            </w:pPr>
            <w:r>
              <w:rPr>
                <w:rFonts w:ascii="Calibri" w:hAnsi="Calibri"/>
                <w:b w:val="0"/>
                <w:color w:val="222222"/>
                <w:sz w:val="18"/>
              </w:rPr>
              <w:t>Contesa dinastica, intervento di Osiride e reintegrazione di Seth presso Ra.</w:t>
            </w:r>
          </w:p>
        </w:tc>
      </w:tr>
      <w:tr>
        <w:trPr>
          <w:cantSplit/>
        </w:trPr>
        <w:tc>
          <w:tcPr>
            <w:tcW w:type="dxa" w:w="2800"/>
            <w:vAlign w:val="center"/>
            <w:tcMar>
              <w:top w:w="100" w:type="dxa"/>
              <w:start w:w="120" w:type="dxa"/>
              <w:bottom w:w="100" w:type="dxa"/>
              <w:end w:w="120" w:type="dxa"/>
            </w:tcMar>
          </w:tcPr>
          <w:p>
            <w:pPr>
              <w:spacing w:after="0" w:line="252" w:lineRule="auto"/>
              <w:jc w:val="left"/>
            </w:pPr>
            <w:r>
              <w:rPr>
                <w:rFonts w:ascii="Calibri" w:hAnsi="Calibri"/>
                <w:b/>
                <w:color w:val="1F4D78"/>
                <w:sz w:val="18"/>
              </w:rPr>
              <w:t>Libro della vittoria su Seth</w:t>
            </w:r>
          </w:p>
        </w:tc>
        <w:tc>
          <w:tcPr>
            <w:tcW w:type="dxa" w:w="2250"/>
            <w:vAlign w:val="center"/>
            <w:tcMar>
              <w:top w:w="100" w:type="dxa"/>
              <w:start w:w="120" w:type="dxa"/>
              <w:bottom w:w="100" w:type="dxa"/>
              <w:end w:w="120" w:type="dxa"/>
            </w:tcMar>
          </w:tcPr>
          <w:p>
            <w:pPr>
              <w:spacing w:after="0" w:line="252" w:lineRule="auto"/>
              <w:jc w:val="center"/>
            </w:pPr>
            <w:r>
              <w:rPr>
                <w:rFonts w:ascii="Calibri" w:hAnsi="Calibri"/>
                <w:b w:val="0"/>
                <w:color w:val="222222"/>
                <w:sz w:val="18"/>
              </w:rPr>
              <w:t>307/306 a.C.</w:t>
            </w:r>
          </w:p>
        </w:tc>
        <w:tc>
          <w:tcPr>
            <w:tcW w:type="dxa" w:w="4310"/>
            <w:vAlign w:val="center"/>
            <w:tcMar>
              <w:top w:w="100" w:type="dxa"/>
              <w:start w:w="120" w:type="dxa"/>
              <w:bottom w:w="100" w:type="dxa"/>
              <w:end w:w="120" w:type="dxa"/>
            </w:tcMar>
          </w:tcPr>
          <w:p>
            <w:pPr>
              <w:spacing w:after="0" w:line="252" w:lineRule="auto"/>
              <w:jc w:val="left"/>
            </w:pPr>
            <w:r>
              <w:rPr>
                <w:rFonts w:ascii="Calibri" w:hAnsi="Calibri"/>
                <w:b w:val="0"/>
                <w:color w:val="222222"/>
                <w:sz w:val="18"/>
              </w:rPr>
              <w:t>Vilificazione, degradazione ed espulsione rituale di Seth.</w:t>
            </w:r>
          </w:p>
        </w:tc>
      </w:tr>
    </w:tbl>
    <w:p>
      <w:pPr>
        <w:pStyle w:val="Heading1"/>
        <w:keepNext/>
        <w:pageBreakBefore/>
      </w:pPr>
      <w:r>
        <w:t>4. Matrice celeste e non-sottomissione a Osiride</w:t>
      </w:r>
    </w:p>
    <w:p>
      <w:pPr>
        <w:keepLines/>
        <w:widowControl/>
        <w:spacing w:after="140" w:line="276" w:lineRule="auto"/>
      </w:pPr>
      <w:r>
        <w:rPr>
          <w:b/>
          <w:color w:val="1F4D78"/>
        </w:rPr>
        <w:t xml:space="preserve">Dato testuale. </w:t>
      </w:r>
      <w:r>
        <w:t>I più antichi Testi delle Piramidi conservati combinano motivi celesti, solari, stellari e osiriaci. Il re sale al cielo, raggiunge Ra e si unisce alle stelle imperiture: la concezione funeraria regale documentata non nasce come sistema esclusivamente osiriaco. [P1; P11]</w:t>
      </w:r>
    </w:p>
    <w:p>
      <w:pPr>
        <w:keepLines/>
        <w:widowControl/>
        <w:spacing w:after="140" w:line="276" w:lineRule="auto"/>
      </w:pPr>
      <w:r>
        <w:rPr>
          <w:b/>
          <w:color w:val="1F4D78"/>
        </w:rPr>
        <w:t xml:space="preserve">Formula decisiva. </w:t>
      </w:r>
      <w:r>
        <w:t>Nel PT 213 Ra-Atum non consegna il re a Osiride e viene negato a Osiride il controllo sulla sua mente e sul suo cuore. Allen registra la formula anche nelle copie Teti 289, Pepi I 439, Merenra 324, Pepi II 516 e Neith 274: non si tratta quindi di un frammento isolato. [P1]</w:t>
      </w:r>
    </w:p>
    <w:p>
      <w:pPr>
        <w:keepLines/>
        <w:widowControl/>
        <w:spacing w:after="140" w:line="276" w:lineRule="auto"/>
      </w:pPr>
      <w:r>
        <w:rPr>
          <w:b/>
          <w:color w:val="1F4D78"/>
        </w:rPr>
        <w:t xml:space="preserve">Portata. </w:t>
      </w:r>
      <w:r>
        <w:t>La formula attesta direttamente una sovranità regale sottratta alla presa di Osiride. La sua generalizzazione originaria a ogni essere umano non è dimostrata; è però documentato il principio secondo cui un destino solare può essere rivendicato senza consegna alla giurisdizione osiriaca.</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la non-sottomissione; B/C per la generalizzazione</w:t>
            </w:r>
          </w:p>
          <w:p>
            <w:pPr>
              <w:spacing w:after="0" w:line="269" w:lineRule="auto"/>
            </w:pPr>
            <w:r>
              <w:rPr>
                <w:color w:val="222222"/>
                <w:sz w:val="20"/>
              </w:rPr>
              <w:t>Il fondamento storico più forte della filosofia è reale: una tradizione funeraria regale orientata verso Ra e le stelle nega espressamente che il re venga consegnato al controllo di Osiride.</w:t>
            </w:r>
          </w:p>
        </w:tc>
      </w:tr>
    </w:tbl>
    <w:p>
      <w:pPr>
        <w:widowControl/>
        <w:spacing w:after="0"/>
      </w:pPr>
    </w:p>
    <w:p>
      <w:pPr>
        <w:pStyle w:val="Heading1"/>
        <w:keepNext/>
      </w:pPr>
      <w:r>
        <w:t>5. Osirianizzazione e amministrazione del post mortem</w:t>
      </w:r>
    </w:p>
    <w:p>
      <w:pPr>
        <w:keepLines/>
        <w:widowControl/>
        <w:spacing w:after="140" w:line="276" w:lineRule="auto"/>
      </w:pPr>
      <w:r>
        <w:rPr>
          <w:b/>
          <w:color w:val="1F4D78"/>
        </w:rPr>
        <w:t xml:space="preserve">Anteriorità dei riti. </w:t>
      </w:r>
      <w:r>
        <w:t>Religione, regalità sacra, offerte ai morti e orientamenti celesti precedono l’affermazione centrale di Osiride. Osiride non crea la religione egizia né il primo culto funerario. [P11]</w:t>
      </w:r>
    </w:p>
    <w:p>
      <w:pPr>
        <w:keepLines/>
        <w:widowControl/>
        <w:spacing w:after="140" w:line="276" w:lineRule="auto"/>
      </w:pPr>
      <w:r>
        <w:rPr>
          <w:b/>
          <w:color w:val="1F4D78"/>
        </w:rPr>
        <w:t xml:space="preserve">Sviluppo storico. </w:t>
      </w:r>
      <w:r>
        <w:t>Alla fine della V dinastia il culto di Osiride acquista slancio. Nei corpora conservati la matrice solare e stellare non scompare: viene progressivamente integrata in un paradigma nel quale il defunto è identificato con Osiride e partecipa alla sua restaurazione. [P11; P12]</w:t>
      </w:r>
    </w:p>
    <w:p>
      <w:pPr>
        <w:keepLines/>
        <w:widowControl/>
        <w:spacing w:after="140" w:line="276" w:lineRule="auto"/>
      </w:pPr>
      <w:r>
        <w:rPr>
          <w:b/>
          <w:color w:val="1F4D78"/>
        </w:rPr>
        <w:t xml:space="preserve">Sequenza mitica. </w:t>
      </w:r>
      <w:r>
        <w:t>Osiride è ucciso, ricomposto e reso nuovamente efficace, ma non riprende stabilmente il regno dei viventi. Diviene sovrano dei morti e modello della continuità postuma. [P5; P12]</w:t>
      </w:r>
    </w:p>
    <w:p>
      <w:pPr>
        <w:keepLines/>
        <w:widowControl/>
        <w:spacing w:after="140" w:line="276" w:lineRule="auto"/>
      </w:pPr>
      <w:r>
        <w:rPr>
          <w:b/>
          <w:color w:val="1F4D78"/>
        </w:rPr>
        <w:t xml:space="preserve">Giudizio. </w:t>
      </w:r>
      <w:r>
        <w:t>La confessione negativa davanti a quarantadue valutatori, nella forma del capitolo 125B del Libro dei Morti, è attestata per iscritto dal Nuovo Regno. Il tribunale pienamente articolato è quindi uno sviluppo molto posteriore ai primi complessi funerari regali. [P13]</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B</w:t>
            </w:r>
          </w:p>
          <w:p>
            <w:pPr>
              <w:spacing w:after="0" w:line="269" w:lineRule="auto"/>
            </w:pPr>
            <w:r>
              <w:t>Osiride non fonda la religione egizia: assume progressivamente una posizione centrale nell’ordinamento della morte. L’osirianizzazione è uno sviluppo storico, mentre custodia, giudizio e accesso appartengono a fasi e corpora distinti.</w:t>
            </w:r>
          </w:p>
        </w:tc>
      </w:tr>
    </w:tbl>
    <w:p>
      <w:pPr>
        <w:widowControl/>
        <w:spacing w:after="0"/>
      </w:pPr>
    </w:p>
    <w:p>
      <w:pPr>
        <w:pStyle w:val="Heading1"/>
        <w:keepNext/>
      </w:pPr>
      <w:r>
        <w:t>6. Custodia, restrizione e libertà del defunto</w:t>
      </w:r>
    </w:p>
    <w:p>
      <w:pPr>
        <w:keepLines/>
        <w:widowControl/>
        <w:spacing w:after="140" w:line="276" w:lineRule="auto"/>
      </w:pPr>
      <w:r>
        <w:rPr>
          <w:b/>
          <w:color w:val="1F4D78"/>
        </w:rPr>
        <w:t xml:space="preserve">CT 491. </w:t>
      </w:r>
      <w:r>
        <w:t>Nella redazione estesa il defunto si rivolge a esseri incaricati delle membra di Osiride, descritti mentre sorvegliano le anime e trattengono le ombre dei morti. Ordina che non abbiano potere sul proprio ba, akh, magia e ombra; subito dopo fa aprire le porte o finestre del cielo affinché queste componenti possano raggiungere Ra. [P14; P17; S14]</w:t>
      </w:r>
    </w:p>
    <w:p>
      <w:pPr>
        <w:keepLines/>
        <w:widowControl/>
        <w:spacing w:after="140" w:line="276" w:lineRule="auto"/>
      </w:pPr>
      <w:r>
        <w:rPr>
          <w:b/>
          <w:color w:val="1F4D78"/>
        </w:rPr>
        <w:t xml:space="preserve">Conferma lessicale. </w:t>
      </w:r>
      <w:r>
        <w:t>Faulkner rende hnr, secondo il contesto, con “constrain” o “restrain” e interpreta i sorveglianti come custodi di prigionieri. Le varianti manoscritte impediscono di attribuire ogni frase a ogni copia, ma non eliminano il nucleo restrizione-apertura-accesso a Ra. [P14; P17]</w:t>
      </w:r>
    </w:p>
    <w:p>
      <w:pPr>
        <w:keepLines/>
        <w:widowControl/>
        <w:spacing w:after="140" w:line="276" w:lineRule="auto"/>
      </w:pPr>
      <w:r>
        <w:rPr>
          <w:b/>
          <w:color w:val="1F4D78"/>
        </w:rPr>
        <w:t xml:space="preserve">Continuità. </w:t>
      </w:r>
      <w:r>
        <w:t>CT 492, 493, 499 e 500 ripetono il tema dell’apertura e della non-restrizione. Il Libro dei Morti 91 conserva la formula per non trattenere il ba nella necropoli; il capitolo 92 unisce apertura della tomba, uscita nel giorno e recupero del movimento. Il motivo attraversa Medio e Nuovo Regno e non resta limitato alla sola regalità. [P2; P19; S18]</w:t>
      </w:r>
    </w:p>
    <w:p>
      <w:pPr>
        <w:keepLines/>
        <w:widowControl/>
        <w:spacing w:after="140" w:line="276" w:lineRule="auto"/>
      </w:pPr>
      <w:r>
        <w:rPr>
          <w:b/>
          <w:color w:val="1F4D78"/>
        </w:rPr>
        <w:t xml:space="preserve">Porte osiriache. </w:t>
      </w:r>
      <w:r>
        <w:t>Nei capitoli 144-147 del Libro dei Morti compaiono guardiani e annunciatori agli ingressi di Osiride. L’accesso richiede nomi e formule. Non ogni guardiano è un carceriere: alcuni proteggono lo spazio sacro, altri interrogano o minacciano; tuttavia la possibilità concreta di impedire o consentire il passaggio è documentata. [P2; S13]</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apparato e non-restrizione; B per la responsabilità funzionale</w:t>
            </w:r>
          </w:p>
          <w:p>
            <w:pPr>
              <w:spacing w:after="0" w:line="269" w:lineRule="auto"/>
            </w:pPr>
            <w:r>
              <w:t>Il sistema funerario osiriaco comprende accessi sorvegliati e potenze incaricate di trattenere. La finalità detentiva dell’apparato è documentata; non lo è una confessione psicologica personale di Osiride. La conoscenza consente di sottrarsi alla restrizione e raggiungere Ra.</w:t>
            </w:r>
          </w:p>
        </w:tc>
      </w:tr>
    </w:tbl>
    <w:p>
      <w:pPr>
        <w:widowControl/>
        <w:spacing w:after="0"/>
      </w:pPr>
    </w:p>
    <w:p>
      <w:pPr>
        <w:pStyle w:val="Heading1"/>
        <w:keepNext/>
      </w:pPr>
      <w:r>
        <w:t>7. Conoscenza come libertà</w:t>
      </w:r>
    </w:p>
    <w:p>
      <w:pPr>
        <w:keepLines/>
        <w:widowControl/>
        <w:spacing w:after="140" w:line="276" w:lineRule="auto"/>
      </w:pPr>
      <w:r>
        <w:rPr>
          <w:b/>
          <w:color w:val="1F4D78"/>
        </w:rPr>
        <w:t xml:space="preserve">Nomi e formule. </w:t>
      </w:r>
      <w:r>
        <w:t>Nel capitolo 17 del Libro dei Morti il defunto evita la presa di guardiani e potenze perché ne conosce il nome. Nei capitoli di porte, navigazione e uscita, la parola corretta, il nome, la formula e l’identificazione rituale trasformano il passaggio da impossibile a praticabile. [P2; P3]</w:t>
      </w:r>
    </w:p>
    <w:p>
      <w:pPr>
        <w:keepLines/>
        <w:widowControl/>
        <w:spacing w:after="140" w:line="276" w:lineRule="auto"/>
      </w:pPr>
      <w:r>
        <w:rPr>
          <w:b/>
          <w:color w:val="1F4D78"/>
        </w:rPr>
        <w:t xml:space="preserve">Effetto verificabile. </w:t>
      </w:r>
      <w:r>
        <w:t>La conoscenza non è presentata soltanto come informazione: produce mobilità del ba, apertura della tomba e del cielo, libertà dei passi, accesso alla barca solare e immunità da chi potrebbe trattenere.</w:t>
      </w:r>
    </w:p>
    <w:p>
      <w:pPr>
        <w:keepLines/>
        <w:widowControl/>
        <w:spacing w:after="140" w:line="276" w:lineRule="auto"/>
      </w:pPr>
      <w:r>
        <w:rPr>
          <w:b/>
          <w:color w:val="1F4D78"/>
        </w:rPr>
        <w:t xml:space="preserve">Principio filosofico. </w:t>
      </w:r>
      <w:r>
        <w:t>La formula “libertà = conoscenza” è una sintesi moderna, ma deriva direttamente dalla funzione attribuita ai saperi rituali. Conoscere significa non essere più totalmente amministrabili dalle potenze della soglia.</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A/B</w:t>
            </w:r>
          </w:p>
          <w:p>
            <w:pPr>
              <w:spacing w:after="0" w:line="269" w:lineRule="auto"/>
            </w:pPr>
            <w:r>
              <w:rPr>
                <w:color w:val="222222"/>
                <w:sz w:val="20"/>
              </w:rPr>
              <w:t>È documentato che la conoscenza efficace permette di attraversare porte, neutralizzare custodi, evitare il trattenimento e raggiungere Ra. La filosofia universalizza questo dato come principio di liberazione della coscienza.</w:t>
            </w:r>
          </w:p>
        </w:tc>
      </w:tr>
    </w:tbl>
    <w:p>
      <w:pPr>
        <w:widowControl/>
        <w:spacing w:after="0"/>
      </w:pPr>
    </w:p>
    <w:p>
      <w:pPr>
        <w:pStyle w:val="Heading1"/>
        <w:keepNext/>
      </w:pPr>
      <w:r>
        <w:t>8. Il pugnale meteoritico di Tutankhamon</w:t>
      </w:r>
    </w:p>
    <w:p>
      <w:pPr/>
      <w:r>
        <w:rPr>
          <w:b/>
          <w:color w:val="1F4D78"/>
        </w:rPr>
        <w:t xml:space="preserve">Pugnale di Tutankhamon — dato materiale. </w:t>
      </w:r>
      <w:r>
        <w:t xml:space="preserve">Nel 2016 analisi non distruttive pXRF della lama hanno misurato ferro con circa 10,8% di nichel e 0,58% di cobalto, composizione che stabilisce con forte sicurezza l’origine meteoritica del metallo. Il dato riguarda un oggetto deposto nella sepoltura regale del XIV secolo a.C. </w:t>
      </w:r>
      <w:r>
        <w:t>[S47]</w:t>
      </w:r>
    </w:p>
    <w:p>
      <w:pPr/>
      <w:r>
        <w:rPr>
          <w:b/>
          <w:color w:val="1F4D78"/>
        </w:rPr>
        <w:t xml:space="preserve">Tecnica e provenienza. </w:t>
      </w:r>
      <w:r>
        <w:t xml:space="preserve">Matsui e collaboratori hanno proposto nel 2022 una forgiatura a temperatura inferiore a 950 °C e una possibile provenienza mitannica. Albert Jambon ha contestato la risoluzione delle mappe XRF e l’uso del calcio dell’elsa come indicatore di origine. Restano quindi forti l’origine meteoritica e l’alta qualità dell’oggetto; sono meno sicure la tecnica precisa e l’identificazione con il pugnale diplomatico ricordato nelle lettere di Amarna. </w:t>
      </w:r>
      <w:r>
        <w:t>[S48; S49]</w:t>
      </w:r>
    </w:p>
    <w:p>
      <w:pPr/>
      <w:r>
        <w:rPr>
          <w:b/>
          <w:color w:val="1F4D78"/>
        </w:rPr>
        <w:t xml:space="preserve">Portata della prova. </w:t>
      </w:r>
      <w:r>
        <w:t>Il pugnale dimostra che ferro caduto dal cielo fu lavorato e collocato accanto al corpo del faraone. Il dato è conservato esclusivamente come fatto archeologico controllabile e non viene usato per ricostruire una cosmologia originaria.</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il ferro meteoritico; B/C per tecnica e provenienza</w:t>
            </w:r>
          </w:p>
          <w:p>
            <w:pPr>
              <w:spacing w:after="0" w:line="269" w:lineRule="auto"/>
            </w:pPr>
            <w:r>
              <w:rPr>
                <w:color w:val="222222"/>
                <w:sz w:val="20"/>
              </w:rPr>
              <w:t>Il pugnale è la prova materiale più solida del rapporto fra un oggetto funerario regale e materia meteoritica. Le interpretazioni sull’officina e sul dono mitannico restano discusse.</w:t>
            </w:r>
          </w:p>
        </w:tc>
      </w:tr>
    </w:tbl>
    <w:p>
      <w:pPr>
        <w:pStyle w:val="Heading1"/>
        <w:keepNext/>
      </w:pPr>
      <w:r>
        <w:t>9. Seth e la via protetta: difesa, permanenza e libertà</w:t>
      </w:r>
    </w:p>
    <w:p>
      <w:pPr/>
      <w:r>
        <w:rPr>
          <w:b/>
          <w:color w:val="1F4D78"/>
        </w:rPr>
        <w:t xml:space="preserve">Protezione attestata. </w:t>
      </w:r>
      <w:r>
        <w:t xml:space="preserve">Nel capitolo 108 del Libro dei Morti Seth fronteggia il serpente che minaccia Ra; testi e immagini lo collocano sulla barca solare come forza capace di respingere Apopi. La funzione non è marginale: la violenza di Seth viene impiegata per impedire l’arresto del transito solare. </w:t>
      </w:r>
      <w:r>
        <w:t>[P24; S37]</w:t>
      </w:r>
    </w:p>
    <w:p>
      <w:pPr/>
      <w:r>
        <w:rPr>
          <w:b/>
          <w:color w:val="1F4D78"/>
        </w:rPr>
        <w:t xml:space="preserve">Via protetta da Seth. </w:t>
      </w:r>
      <w:r>
        <w:t>Le fonti non usano questa espressione come titolo di una dottrina. Ne attestano però tutti gli elementi minimi: un percorso solare, una minaccia che tenta di bloccarlo e Seth che difende il passaggio. «Via protetta da Seth» è dunque una formula filosofica moderna con sostegno funzionale forte, non una citazione antica.</w:t>
      </w:r>
    </w:p>
    <w:p>
      <w:pPr/>
      <w:r>
        <w:rPr>
          <w:b/>
          <w:color w:val="1F4D78"/>
        </w:rPr>
        <w:t xml:space="preserve">Permanenza. </w:t>
      </w:r>
      <w:r>
        <w:t xml:space="preserve">Nel Pap. Berlin P. 8278b Seth non rimane morto benché il rito ne rappresenti l’uccisione; nel Papiro Jumilhac ricompare dopo una sequenza di punizioni rituali. Le manifestazioni possono essere colpite, ma la potenza divina non è eliminata definitivamente. </w:t>
      </w:r>
      <w:r>
        <w:t>[S22]</w:t>
      </w:r>
    </w:p>
    <w:p>
      <w:pPr/>
      <w:r>
        <w:rPr>
          <w:b/>
          <w:color w:val="1F4D78"/>
        </w:rPr>
        <w:t xml:space="preserve">Conseguenza. </w:t>
      </w:r>
      <w:r>
        <w:t>Protezione del movimento e resistenza alla cancellazione formano il nucleo della figura filosofica: Seth tutela la possibilità del passaggio contro ciò che immobilizza, senza essere ridotto a simbolo del bene assoluto.</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la protezione; B per la formula filosofica</w:t>
            </w:r>
          </w:p>
          <w:p>
            <w:pPr>
              <w:spacing w:after="0" w:line="269" w:lineRule="auto"/>
            </w:pPr>
            <w:r>
              <w:rPr>
                <w:color w:val="222222"/>
                <w:sz w:val="20"/>
              </w:rPr>
              <w:t>Seth difende concretamente il transito solare contro Apopi. Chiamare questa funzione «via protetta da Seth» è una sintesi dichiarata e controllabile.</w:t>
            </w:r>
          </w:p>
        </w:tc>
      </w:tr>
    </w:tbl>
    <w:p>
      <w:pPr>
        <w:pStyle w:val="Heading1"/>
        <w:keepNext/>
      </w:pPr>
      <w:r>
        <w:t>10. Seth davanti al tribunale: successione, non condanna e influenza</w:t>
      </w:r>
    </w:p>
    <w:p>
      <w:pPr/>
      <w:r>
        <w:rPr>
          <w:b/>
          <w:color w:val="1F4D78"/>
        </w:rPr>
        <w:t xml:space="preserve">Oggetto del procedimento. </w:t>
      </w:r>
      <w:r>
        <w:t xml:space="preserve">Nel Papiro Chester Beatty I il collegio divino deve stabilire chi riceva la carica regale di Osiride. L’uccisione appartiene allo sfondo mitico, ma il testo conservato non istruisce un processo penale per omicidio e non pronuncia contro Seth una pena per quell’atto. La formulazione esatta è quindi «nessuna condanna per l’omicidio in questo testimone», non «innocenza storicamente provata». </w:t>
      </w:r>
      <w:r>
        <w:t>[P22; S39]</w:t>
      </w:r>
    </w:p>
    <w:p>
      <w:pPr/>
      <w:r>
        <w:rPr>
          <w:b/>
          <w:color w:val="1F4D78"/>
        </w:rPr>
        <w:t xml:space="preserve">Un tribunale esposto alla pressione. </w:t>
      </w:r>
      <w:r>
        <w:t xml:space="preserve">Il procedimento cambia direzione attraverso lettere, minacce, collera e compensazioni. Neith raccomanda Horus e propone di compensare Seth; più tardi il collegio interpella Osiride. Osiride risponde rivendicando il proprio potere e minacciando di inviare messaggeri terribili contro chi compie ingiustizia. Dopo la lettera, Horus viene dichiarato nel giusto. </w:t>
      </w:r>
      <w:r>
        <w:t>[P22; S39; S45]</w:t>
      </w:r>
    </w:p>
    <w:p>
      <w:pPr/>
      <w:r>
        <w:rPr>
          <w:b/>
          <w:color w:val="1F4D78"/>
        </w:rPr>
        <w:t xml:space="preserve">Esito riservato a Seth. </w:t>
      </w:r>
      <w:r>
        <w:t>Seth viene condotto legato e perde la successione; accetta che la carica vada a Horus. Non viene però messo a morte, espulso dal consesso divino o privato di ogni funzione: Ra-Harakhti lo accoglie come figlio e la sua voce diviene il tuono. Il racconto combina sconfitta dinastica, subordinazione e reintegrazione solare.</w:t>
      </w:r>
    </w:p>
    <w:p>
      <w:pPr/>
      <w:r>
        <w:rPr>
          <w:b/>
          <w:color w:val="1F4D78"/>
        </w:rPr>
        <w:t xml:space="preserve">Influenza di Osiride. </w:t>
      </w:r>
      <w:r>
        <w:t>La sua lettera è un intervento efficace e cronologicamente vicino al verdetto. È quindi corretto dire che Osiride influenza il tribunale. Non è dimostrato che lo controlli segretamente o che il risultato dipenda soltanto da lui: il racconto mostra una decisione già condizionata da più attori.</w:t>
      </w:r>
    </w:p>
    <w:p>
      <w:pPr/>
      <w:r>
        <w:rPr>
          <w:b/>
          <w:color w:val="1F4D78"/>
        </w:rPr>
        <w:t xml:space="preserve">Inferenza sul conflitto. </w:t>
      </w:r>
      <w:r>
        <w:t xml:space="preserve">L’assenza di una pena per l’omicidio e la conservazione della potenza di Seth rendono insufficiente il modello del semplice assassino già giudicato. È ragionevole inferire che il mito tramandi un conflitto politico-teologico più profondo sulla legittimità e sull’equilibrio delle potenze. Von Lieven ha inoltre raccolto contro-tradizioni dei centri di culto di Seth, collegate a PT 477 e CT 837, nelle quali Osiride può essere presentato come colui che ha torto; tradizioni successive includono l’adulterio con Nephthys. È provata l’esistenza di versioni concorrenti, non un singolo evento storico ricostruibile. </w:t>
      </w:r>
      <w:r>
        <w:t>[P1; P14; S46]</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struttura ed esito; B/C per il conflitto sottostante</w:t>
            </w:r>
          </w:p>
          <w:p>
            <w:pPr>
              <w:spacing w:after="0" w:line="269" w:lineRule="auto"/>
            </w:pPr>
            <w:r>
              <w:rPr>
                <w:color w:val="222222"/>
                <w:sz w:val="20"/>
              </w:rPr>
              <w:t>Il papiro decide la successione e non condanna Seth per l’omicidio; l’intervento di Osiride incide sulla decisione. La spiegazione mediante un conflitto più grave è una deduzione sostenuta da contro-tradizioni, non un fatto storico già dimostrato.</w:t>
            </w:r>
          </w:p>
        </w:tc>
      </w:tr>
    </w:tbl>
    <w:p>
      <w:pPr>
        <w:pStyle w:val="Heading1"/>
        <w:keepNext/>
      </w:pPr>
      <w:r>
        <w:t>11. Cancellazione e demonizzazione di Seth</w:t>
      </w:r>
    </w:p>
    <w:p>
      <w:pPr/>
      <w:r>
        <w:rPr>
          <w:b/>
          <w:color w:val="1F4D78"/>
        </w:rPr>
        <w:t xml:space="preserve">Cancellazioni documentate. </w:t>
      </w:r>
      <w:r>
        <w:t xml:space="preserve">Nomi e immagini di Seth furono realmente scalpellati, riscritti o neutralizzati in diversi monumenti e papiri. Hope e Warfe distinguono due serie di dati dal XXV secolo in avanti: testi che vilificano il dio e interventi materiali sui suoi nomi o sulle sue figure. L’evidenza autorizza a parlare di cancellazioni, purché non le si trasformi in una politica uniforme per tutto l’Egitto. </w:t>
      </w:r>
      <w:r>
        <w:t>[S3]</w:t>
      </w:r>
    </w:p>
    <w:p>
      <w:pPr/>
      <w:r>
        <w:rPr>
          <w:b/>
          <w:color w:val="1F4D78"/>
        </w:rPr>
        <w:t xml:space="preserve">Demonizzazione rituale. </w:t>
      </w:r>
      <w:r>
        <w:t xml:space="preserve">Il Papiro BM EA 10252, datato al 307/306 a.C., conserva composizioni per abbattere Seth e i suoi confederati. Qui degradazione, espulsione e identificazione con il nemico sono esplicite: è una fase tarda di demonizzazione rituale, non la descrizione neutra del Seth ramesside. </w:t>
      </w:r>
      <w:r>
        <w:t>[P23]</w:t>
      </w:r>
    </w:p>
    <w:p>
      <w:pPr/>
      <w:r>
        <w:rPr>
          <w:b/>
          <w:color w:val="1F4D78"/>
        </w:rPr>
        <w:t xml:space="preserve">Selettività e persistenza. </w:t>
      </w:r>
      <w:r>
        <w:t xml:space="preserve">A Mut al-Kharab il culto continuò, con tempio, donazioni e nomi teofori; in altri casi iscrizioni ramessidi con Seth rimasero intatte. Arp-Neumann mostra inoltre che alcune alterazioni potevano neutralizzare una potenza pericolosa proprio perché ritenuta ancora efficace. Il danno materiale è certo; intenzione, cronologia e ampiezza vanno stabilite caso per caso. </w:t>
      </w:r>
      <w:r>
        <w:t>[S2; S3]</w:t>
      </w:r>
    </w:p>
    <w:p>
      <w:pPr/>
      <w:r>
        <w:rPr>
          <w:b/>
          <w:color w:val="1F4D78"/>
        </w:rPr>
        <w:t xml:space="preserve">Fase di ricezione. </w:t>
      </w:r>
      <w:r>
        <w:t>L’identificazione greco-romana Seth-Tifone accentua la polarizzazione morale. La sequenza storica è quindi: funzione protettiva e regale, contesa dinastica senza eliminazione, pratiche selettive di negazione, demonizzazione rituale e rielaborazione filosofica tarda.</w:t>
      </w:r>
    </w:p>
    <w:p>
      <w:pPr/>
      <w:r>
        <w:rPr>
          <w:b/>
          <w:color w:val="1F4D78"/>
        </w:rPr>
        <w:t xml:space="preserve">Conseguenza filosofica. </w:t>
      </w:r>
      <w:r>
        <w:t>La cancellazione non prova che sia stata soppressa una dottrina segreta. Dimostra però che l’immagine di Seth fu attivamente riscritta. Per ricostruire la via protetta da Seth occorre perciò risalire alle funzioni solari anteriori e non assumere la demonizzazione tarda come essenza originaria del dio.</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Esito finale · A per alterazioni e rituali; B per la storia della demonizzazione</w:t>
            </w:r>
          </w:p>
          <w:p>
            <w:pPr>
              <w:spacing w:after="0" w:line="269" w:lineRule="auto"/>
            </w:pPr>
            <w:r>
              <w:rPr>
                <w:color w:val="222222"/>
                <w:sz w:val="20"/>
              </w:rPr>
              <w:t>Le prove di cancellazione e vilificazione esistono, ma descrivono un processo selettivo e stratificato. Proprio questa stratificazione rende necessaria una genealogia critica dell’immagine di Seth.</w:t>
            </w:r>
          </w:p>
        </w:tc>
      </w:tr>
    </w:tbl>
    <w:p>
      <w:pPr>
        <w:pStyle w:val="Heading1"/>
        <w:keepNext/>
      </w:pPr>
      <w:r>
        <w:t>12. Livelli della prova e inferenza controllata</w:t>
      </w:r>
    </w:p>
    <w:p>
      <w:pPr/>
      <w:r>
        <w:rPr>
          <w:b/>
          <w:color w:val="1F4D78"/>
        </w:rPr>
        <w:t xml:space="preserve">Prova diretta. </w:t>
      </w:r>
      <w:r>
        <w:t>Seth protegge la barca solare; il Papiro Chester Beatty I decide la successione senza condannarlo per l’omicidio; Osiride interviene con una lettera minacciosa; Seth viene reintegrato presso Ra; fonti tarde ne alterano immagini e nomi e ne prescrivono l’espulsione rituale; la lama del pugnale di Tutankhamon è di ferro meteoritico.</w:t>
      </w:r>
    </w:p>
    <w:p>
      <w:pPr/>
      <w:r>
        <w:rPr>
          <w:b/>
          <w:color w:val="1F4D78"/>
        </w:rPr>
        <w:t xml:space="preserve">Inferenza forte. </w:t>
      </w:r>
      <w:r>
        <w:t>Il collegio divino è influenzabile e il trattamento di Seth non coincide con quello di un colpevole semplicemente eliminato. Il racconto conserva un problema di legittimità e di equilibrio delle potenze più complesso della sola colpa criminale.</w:t>
      </w:r>
    </w:p>
    <w:p>
      <w:pPr/>
      <w:r>
        <w:rPr>
          <w:b/>
          <w:color w:val="1F4D78"/>
        </w:rPr>
        <w:t xml:space="preserve">Costruzione filosofica dichiarata. </w:t>
      </w:r>
      <w:r>
        <w:t>La «via protetta da Seth» unisce il transito solare, la difesa contro Apopi, la non-eliminazione nel verdetto e la necessità di attraversare criticamente la demonizzazione successiva. La costruzione è moderna, ma ogni suo anello storico è identificabile e verificabile.</w:t>
      </w:r>
    </w:p>
    <w:p>
      <w:pPr/>
      <w:r>
        <w:rPr>
          <w:b/>
          <w:color w:val="1F4D78"/>
        </w:rPr>
        <w:t xml:space="preserve">Limite. </w:t>
      </w:r>
      <w:r>
        <w:t>Le fonti non consentono di trasformare la contro-tradizione in cronaca né di identificare con certezza l’evento che produsse il conflitto. Il dato storico è la pluralità delle versioni e delle funzioni; la ricostruzione dell’accaduto resta aperta.</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Criterio conclusivo</w:t>
            </w:r>
          </w:p>
          <w:p>
            <w:pPr>
              <w:spacing w:after="0" w:line="269" w:lineRule="auto"/>
            </w:pPr>
            <w:r>
              <w:rPr>
                <w:color w:val="222222"/>
                <w:sz w:val="20"/>
              </w:rPr>
              <w:t>Il documento separa ciò che il testo afferma, ciò che la sequenza rende probabile e ciò che la filosofia costruisce. La forza della tesi dipende dalla trasparenza di questi passaggi.</w:t>
            </w:r>
          </w:p>
        </w:tc>
      </w:tr>
    </w:tbl>
    <w:p>
      <w:pPr>
        <w:pStyle w:val="Heading1"/>
        <w:keepNext/>
      </w:pPr>
      <w:r>
        <w:t>13. Catena probatoria e formulazione finale</w:t>
      </w:r>
    </w:p>
    <w:p>
      <w:pPr/>
      <w:r>
        <w:rPr>
          <w:b/>
          <w:color w:val="1F4D78"/>
        </w:rPr>
        <w:t xml:space="preserve">1. </w:t>
      </w:r>
      <w:r>
        <w:t>La più antica escatologia regale scritta è celeste, solare e stellare, pur contenendo elementi osiriaci.</w:t>
      </w:r>
    </w:p>
    <w:p>
      <w:pPr/>
      <w:r>
        <w:rPr>
          <w:b/>
          <w:color w:val="1F4D78"/>
        </w:rPr>
        <w:t xml:space="preserve">2. </w:t>
      </w:r>
      <w:r>
        <w:t>PT 213 nega che il re sia consegnato al controllo di Osiride.</w:t>
      </w:r>
    </w:p>
    <w:p>
      <w:pPr/>
      <w:r>
        <w:rPr>
          <w:b/>
          <w:color w:val="1F4D78"/>
        </w:rPr>
        <w:t xml:space="preserve">3. </w:t>
      </w:r>
      <w:r>
        <w:t>Testi successivi attestano custodi, accessi regolati e formule che impediscono il trattenimento e aprono la via verso Ra.</w:t>
      </w:r>
    </w:p>
    <w:p>
      <w:pPr/>
      <w:r>
        <w:rPr>
          <w:b/>
          <w:color w:val="1F4D78"/>
        </w:rPr>
        <w:t xml:space="preserve">4. </w:t>
      </w:r>
      <w:r>
        <w:t>Ra attraversa il dominio dei morti; Seth difende il transito solare contro Apopi.</w:t>
      </w:r>
    </w:p>
    <w:p>
      <w:pPr/>
      <w:r>
        <w:rPr>
          <w:b/>
          <w:color w:val="1F4D78"/>
        </w:rPr>
        <w:t xml:space="preserve">5. </w:t>
      </w:r>
      <w:r>
        <w:t>Nel Papiro Chester Beatty I la questione giudicata è la successione: Seth non riceve una condanna per l’omicidio di Osiride.</w:t>
      </w:r>
    </w:p>
    <w:p>
      <w:pPr/>
      <w:r>
        <w:rPr>
          <w:b/>
          <w:color w:val="1F4D78"/>
        </w:rPr>
        <w:t xml:space="preserve">6. </w:t>
      </w:r>
      <w:r>
        <w:t>La lettera di Osiride orienta il procedimento; il verdetto priva Seth della carica ma Ra lo reintegra nella propria sfera.</w:t>
      </w:r>
    </w:p>
    <w:p>
      <w:pPr/>
      <w:r>
        <w:rPr>
          <w:b/>
          <w:color w:val="1F4D78"/>
        </w:rPr>
        <w:t xml:space="preserve">7. </w:t>
      </w:r>
      <w:r>
        <w:t>Contro-tradizioni locali mostrano che la colpa di Seth non fu narrata ovunque nello stesso modo e che Osiride poteva essere rappresentato come autore di un torto.</w:t>
      </w:r>
    </w:p>
    <w:p>
      <w:pPr/>
      <w:r>
        <w:rPr>
          <w:b/>
          <w:color w:val="1F4D78"/>
        </w:rPr>
        <w:t xml:space="preserve">8. </w:t>
      </w:r>
      <w:r>
        <w:t>Cancellazioni, vilificazioni e rituali di espulsione attestano una successiva riscrittura polemica della figura di Seth, senza cancellarne ovunque il culto.</w:t>
      </w:r>
    </w:p>
    <w:p>
      <w:pPr/>
      <w:r>
        <w:rPr>
          <w:b/>
          <w:color w:val="1F4D78"/>
        </w:rPr>
        <w:t xml:space="preserve">9. </w:t>
      </w:r>
      <w:r>
        <w:t>Il pugnale di Tutankhamon offre un dato materiale indipendente: ferro meteoritico lavorato e deposto in una sepoltura regale.</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shd w:fill="F3F7FB"/>
            <w:tcMar>
              <w:top w:w="150" w:type="dxa"/>
              <w:start w:w="180" w:type="dxa"/>
              <w:bottom w:w="150" w:type="dxa"/>
              <w:end w:w="180" w:type="dxa"/>
            </w:tcMar>
          </w:tcPr>
          <w:p>
            <w:pPr>
              <w:spacing w:after="80"/>
            </w:pPr>
            <w:r>
              <w:rPr>
                <w:b/>
                <w:color w:val="2E74B5"/>
                <w:sz w:val="21"/>
              </w:rPr>
              <w:t>Formulazione finale sostenibile</w:t>
            </w:r>
          </w:p>
          <w:p>
            <w:pPr>
              <w:spacing w:after="0" w:line="269" w:lineRule="auto"/>
            </w:pPr>
            <w:r>
              <w:rPr>
                <w:color w:val="222222"/>
                <w:sz w:val="20"/>
              </w:rPr>
              <w:t>La Filosofia della liberazione cosmica definisce una via di mobilità della coscienza fondata su conoscenza, passaggio e resistenza all’arresto. Seth ne è il protettore simbolico perché difende il movimento solare, non viene eliminato dal verdetto e sopravvive alla successiva riscrittura demonizzante. Il tribunale osiriaco è mostrato come influenzabile; l’evento profondo che generò il conflitto resta un problema storico aperto.</w:t>
            </w:r>
          </w:p>
        </w:tc>
      </w:tr>
    </w:tbl>
    <w:p>
      <w:pPr>
        <w:pStyle w:val="Heading1"/>
      </w:pPr>
      <w:r>
        <w:rPr>
          <w:rFonts w:ascii="Calibri" w:hAnsi="Calibri"/>
        </w:rPr>
        <w:t>14. Aggiornamento della ricerca e contributo originale</w:t>
      </w:r>
    </w:p>
    <w:p>
      <w:pPr>
        <w:pStyle w:val="Heading2"/>
      </w:pPr>
      <w:r>
        <w:rPr>
          <w:rFonts w:ascii="Calibri" w:hAnsi="Calibri"/>
        </w:rPr>
        <w:t>14.1 Intuizioni ora consolidate</w:t>
      </w:r>
    </w:p>
    <w:p>
      <w:pPr/>
      <w:r>
        <w:rPr>
          <w:b/>
          <w:color w:val="1F4D78"/>
        </w:rPr>
        <w:t xml:space="preserve">Il processo ramesside. </w:t>
      </w:r>
      <w:r>
        <w:t>Le Contese di Horus e Seth non sono una sentenza per l’uccisione di Osiride, ma una lunga controversia sulla successione. Seth subisce coercizione e perde la carica, tuttavia non è condannato a morte o espulso dalla società divina; Ra lo assume nella propria sfera.</w:t>
      </w:r>
    </w:p>
    <w:p>
      <w:pPr/>
      <w:r>
        <w:rPr>
          <w:b/>
          <w:color w:val="1F4D78"/>
        </w:rPr>
        <w:t xml:space="preserve">L’intervento di Osiride. </w:t>
      </w:r>
      <w:r>
        <w:t>Il collegio lo consulta e la sua risposta combina rivendicazione di autorità e minaccia. La decisione favorevole a Horus segue l’intervento. Il testo dimostra influenza procedurale; l’ipotesi di controllo esclusivo richiederebbe dati ulteriori.</w:t>
      </w:r>
    </w:p>
    <w:p>
      <w:pPr/>
      <w:r>
        <w:rPr>
          <w:b/>
          <w:color w:val="1F4D78"/>
        </w:rPr>
        <w:t xml:space="preserve">La contro-tradizione. </w:t>
      </w:r>
      <w:r>
        <w:t>PT 477, CT 837 e materiali locali analizzati da von Lieven conservano la possibilità che Osiride abbia torto nei confronti di Seth. Questo rende storicamente reale la pluralità del mito e giustifica l’indagine su un conflitto più grave, ma non consente di identificare un unico episodio storico.</w:t>
      </w:r>
    </w:p>
    <w:p>
      <w:pPr/>
      <w:r>
        <w:rPr>
          <w:b/>
          <w:color w:val="1F4D78"/>
        </w:rPr>
        <w:t xml:space="preserve">Cancellazione e demonizzazione. </w:t>
      </w:r>
      <w:r>
        <w:t>I danni ai nomi e alle immagini e i rituali tardi contro Seth sono documentati; persistenza del culto e interventi selettivi impediscono però il modello di una proscrizione totale e simultanea.</w:t>
      </w:r>
    </w:p>
    <w:p>
      <w:pPr/>
      <w:r>
        <w:rPr>
          <w:b/>
          <w:color w:val="1F4D78"/>
        </w:rPr>
        <w:t xml:space="preserve">Tutankhamon. </w:t>
      </w:r>
      <w:r>
        <w:t>Il pugnale offre un oggetto controllabile: la lama è di ferro meteoritico; le ipotesi sulla forgiatura e sulla provenienza mitannica restano oggetto di discussione.</w:t>
      </w:r>
    </w:p>
    <w:p>
      <w:pPr>
        <w:pStyle w:val="Heading2"/>
      </w:pPr>
      <w:r>
        <w:rPr>
          <w:rFonts w:ascii="Calibri" w:hAnsi="Calibri"/>
        </w:rPr>
        <w:t>14.2 Che cosa era già noto</w:t>
      </w:r>
    </w:p>
    <w:p>
      <w:pPr/>
      <w:r>
        <w:t>La funzione di Seth sulla barca di Ra, la lunga indecisione del tribunale, l’esito non annientante delle Contese e le alterazioni tarde del nome e dell’immagine del dio sono già studiati separatamente. Anche l’origine meteoritica del pugnale di Tutankhamon è stabilita dalla letteratura archeometrica.</w:t>
      </w:r>
    </w:p>
    <w:p>
      <w:pPr/>
      <w:r>
        <w:t>La storiografia più recente ha inoltre corretto la vecchia idea di una proscrizione totale: la vilificazione è reale, ma culti e raffigurazioni positive persistono in luoghi e periodi differenti.</w:t>
      </w:r>
    </w:p>
    <w:p>
      <w:pPr>
        <w:pStyle w:val="Heading2"/>
      </w:pPr>
      <w:r>
        <w:rPr>
          <w:rFonts w:ascii="Calibri" w:hAnsi="Calibri"/>
        </w:rPr>
        <w:t>14.3 Contributo specifico del presente lavoro</w:t>
      </w:r>
    </w:p>
    <w:p>
      <w:pPr/>
      <w:r>
        <w:t>Il contributo specifico consiste nel concatenare: (1) non-sottomissione a Osiride; (2) conoscenza che apre il passaggio; (3) Seth difensore del transito solare; (4) procedimento successorio senza condanna per omicidio; (5) intervento influente di Osiride; (6) reintegrazione di Seth presso Ra; (7) contro-tradizioni che attribuiscono un torto a Osiride; (8) successiva cancellazione e demonizzazione selettiva.</w:t>
      </w:r>
    </w:p>
    <w:p>
      <w:pPr/>
      <w:r>
        <w:t>Da questa catena deriva la formula «via protetta da Seth». La sua novità non è la scoperta dei singoli testi, ma il loro ordinamento in un modello filosofico che rende visibile la differenza tra Seth protettore, Seth contendente e Seth demonizzato.</w:t>
      </w:r>
    </w:p>
    <w:p>
      <w:pPr/>
      <w:r>
        <w:t>Il pugnale di Tutankhamon è mantenuto come prova archeometrica autonoma. Serve a mostrare come l’origine meteoritica di un oggetto possa essere stabilita scientificamente senza trasformarla automaticamente in teologia.</w:t>
      </w:r>
    </w:p>
    <w:p>
      <w:pPr>
        <w:pStyle w:val="Heading2"/>
      </w:pPr>
      <w:r>
        <w:rPr>
          <w:rFonts w:ascii="Calibri" w:hAnsi="Calibri"/>
        </w:rPr>
        <w:t>14.4 Matrice di novità</w:t>
      </w:r>
    </w:p>
    <w:tbl>
      <w:tblPr>
        <w:tblStyle w:val="TableGrid"/>
        <w:tblW w:type="dxa" w:w="9360"/>
        <w:jc w:val="left"/>
        <w:tblLayout w:type="fixed"/>
        <w:tblLook w:firstColumn="1" w:firstRow="1" w:lastColumn="0" w:lastRow="0" w:noHBand="0" w:noVBand="1" w:val="04A0"/>
        <w:tblInd w:w="120" w:type="dxa"/>
      </w:tblPr>
      <w:tblGrid>
        <w:gridCol w:w="1650"/>
        <w:gridCol w:w="2320"/>
        <w:gridCol w:w="3390"/>
        <w:gridCol w:w="2000"/>
      </w:tblGrid>
      <w:tr>
        <w:tc>
          <w:tcPr>
            <w:tcW w:type="dxa" w:w="1650"/>
            <w:shd w:fill="E8EEF5"/>
            <w:tcMar>
              <w:top w:w="80" w:type="dxa"/>
              <w:start w:w="120" w:type="dxa"/>
              <w:bottom w:w="80" w:type="dxa"/>
              <w:end w:w="120" w:type="dxa"/>
            </w:tcMar>
            <w:vAlign w:val="top"/>
          </w:tcPr>
          <w:p>
            <w:r>
              <w:rPr>
                <w:rFonts w:ascii="Calibri" w:hAnsi="Calibri"/>
                <w:b/>
                <w:color w:val="0B2545"/>
                <w:sz w:val="18"/>
              </w:rPr>
              <w:t>Elemento</w:t>
            </w:r>
          </w:p>
        </w:tc>
        <w:tc>
          <w:tcPr>
            <w:tcW w:type="dxa" w:w="2320"/>
            <w:shd w:fill="E8EEF5"/>
            <w:tcMar>
              <w:top w:w="80" w:type="dxa"/>
              <w:start w:w="120" w:type="dxa"/>
              <w:bottom w:w="80" w:type="dxa"/>
              <w:end w:w="120" w:type="dxa"/>
            </w:tcMar>
            <w:vAlign w:val="top"/>
          </w:tcPr>
          <w:p>
            <w:r>
              <w:rPr>
                <w:rFonts w:ascii="Calibri" w:hAnsi="Calibri"/>
                <w:b/>
                <w:color w:val="0B2545"/>
                <w:sz w:val="18"/>
              </w:rPr>
              <w:t>Stato negli studi</w:t>
            </w:r>
          </w:p>
        </w:tc>
        <w:tc>
          <w:tcPr>
            <w:tcW w:type="dxa" w:w="3390"/>
            <w:shd w:fill="E8EEF5"/>
            <w:tcMar>
              <w:top w:w="80" w:type="dxa"/>
              <w:start w:w="120" w:type="dxa"/>
              <w:bottom w:w="80" w:type="dxa"/>
              <w:end w:w="120" w:type="dxa"/>
            </w:tcMar>
            <w:vAlign w:val="top"/>
          </w:tcPr>
          <w:p>
            <w:r>
              <w:rPr>
                <w:rFonts w:ascii="Calibri" w:hAnsi="Calibri"/>
                <w:b/>
                <w:color w:val="0B2545"/>
                <w:sz w:val="18"/>
              </w:rPr>
              <w:t>Contributo del lavoro</w:t>
            </w:r>
          </w:p>
        </w:tc>
        <w:tc>
          <w:tcPr>
            <w:tcW w:type="dxa" w:w="2000"/>
            <w:shd w:fill="E8EEF5"/>
            <w:tcMar>
              <w:top w:w="80" w:type="dxa"/>
              <w:start w:w="120" w:type="dxa"/>
              <w:bottom w:w="80" w:type="dxa"/>
              <w:end w:w="120" w:type="dxa"/>
            </w:tcMar>
            <w:vAlign w:val="top"/>
          </w:tcPr>
          <w:p>
            <w:r>
              <w:rPr>
                <w:rFonts w:ascii="Calibri" w:hAnsi="Calibri"/>
                <w:b/>
                <w:color w:val="0B2545"/>
                <w:sz w:val="18"/>
              </w:rPr>
              <w:t>Valutazione</w:t>
            </w:r>
          </w:p>
        </w:tc>
      </w:tr>
      <w:tr>
        <w:tc>
          <w:tcPr>
            <w:tcW w:type="dxa" w:w="1650"/>
            <w:tcMar>
              <w:top w:w="80" w:type="dxa"/>
              <w:start w:w="120" w:type="dxa"/>
              <w:bottom w:w="80" w:type="dxa"/>
              <w:end w:w="120" w:type="dxa"/>
            </w:tcMar>
            <w:vAlign w:val="top"/>
          </w:tcPr>
          <w:p>
            <w:r>
              <w:rPr>
                <w:rFonts w:ascii="Calibri" w:hAnsi="Calibri"/>
                <w:sz w:val="17"/>
              </w:rPr>
              <w:t>Conoscenza e custodi</w:t>
            </w:r>
          </w:p>
        </w:tc>
        <w:tc>
          <w:tcPr>
            <w:tcW w:type="dxa" w:w="2320"/>
            <w:tcMar>
              <w:top w:w="80" w:type="dxa"/>
              <w:start w:w="120" w:type="dxa"/>
              <w:bottom w:w="80" w:type="dxa"/>
              <w:end w:w="120" w:type="dxa"/>
            </w:tcMar>
            <w:vAlign w:val="top"/>
          </w:tcPr>
          <w:p>
            <w:r>
              <w:rPr>
                <w:rFonts w:ascii="Calibri" w:hAnsi="Calibri"/>
                <w:sz w:val="17"/>
              </w:rPr>
              <w:t>Già documentati</w:t>
            </w:r>
          </w:p>
        </w:tc>
        <w:tc>
          <w:tcPr>
            <w:tcW w:type="dxa" w:w="3390"/>
            <w:tcMar>
              <w:top w:w="80" w:type="dxa"/>
              <w:start w:w="120" w:type="dxa"/>
              <w:bottom w:w="80" w:type="dxa"/>
              <w:end w:w="120" w:type="dxa"/>
            </w:tcMar>
            <w:vAlign w:val="top"/>
          </w:tcPr>
          <w:p>
            <w:r>
              <w:rPr>
                <w:rFonts w:ascii="Calibri" w:hAnsi="Calibri"/>
                <w:sz w:val="17"/>
              </w:rPr>
              <w:t>Integrati in un modello della libertà</w:t>
            </w:r>
          </w:p>
        </w:tc>
        <w:tc>
          <w:tcPr>
            <w:tcW w:type="dxa" w:w="2000"/>
            <w:tcMar>
              <w:top w:w="80" w:type="dxa"/>
              <w:start w:w="120" w:type="dxa"/>
              <w:bottom w:w="80" w:type="dxa"/>
              <w:end w:w="120" w:type="dxa"/>
            </w:tcMar>
            <w:vAlign w:val="top"/>
          </w:tcPr>
          <w:p>
            <w:r>
              <w:rPr>
                <w:rFonts w:ascii="Calibri" w:hAnsi="Calibri"/>
                <w:sz w:val="17"/>
              </w:rPr>
              <w:t>Sintesi nuova</w:t>
            </w:r>
          </w:p>
        </w:tc>
      </w:tr>
      <w:tr>
        <w:tc>
          <w:tcPr>
            <w:tcW w:type="dxa" w:w="1650"/>
            <w:tcMar>
              <w:top w:w="80" w:type="dxa"/>
              <w:start w:w="120" w:type="dxa"/>
              <w:bottom w:w="80" w:type="dxa"/>
              <w:end w:w="120" w:type="dxa"/>
            </w:tcMar>
            <w:vAlign w:val="top"/>
          </w:tcPr>
          <w:p>
            <w:r>
              <w:rPr>
                <w:rFonts w:ascii="Calibri" w:hAnsi="Calibri"/>
                <w:sz w:val="17"/>
              </w:rPr>
              <w:t>Fuga da Osiride</w:t>
            </w:r>
          </w:p>
        </w:tc>
        <w:tc>
          <w:tcPr>
            <w:tcW w:type="dxa" w:w="2320"/>
            <w:tcMar>
              <w:top w:w="80" w:type="dxa"/>
              <w:start w:w="120" w:type="dxa"/>
              <w:bottom w:w="80" w:type="dxa"/>
              <w:end w:w="120" w:type="dxa"/>
            </w:tcMar>
            <w:vAlign w:val="top"/>
          </w:tcPr>
          <w:p>
            <w:r>
              <w:rPr>
                <w:rFonts w:ascii="Calibri" w:hAnsi="Calibri"/>
                <w:sz w:val="17"/>
              </w:rPr>
              <w:t>Antecedenti presenti</w:t>
            </w:r>
          </w:p>
        </w:tc>
        <w:tc>
          <w:tcPr>
            <w:tcW w:type="dxa" w:w="3390"/>
            <w:tcMar>
              <w:top w:w="80" w:type="dxa"/>
              <w:start w:w="120" w:type="dxa"/>
              <w:bottom w:w="80" w:type="dxa"/>
              <w:end w:w="120" w:type="dxa"/>
            </w:tcMar>
            <w:vAlign w:val="top"/>
          </w:tcPr>
          <w:p>
            <w:r>
              <w:rPr>
                <w:rFonts w:ascii="Calibri" w:hAnsi="Calibri"/>
                <w:sz w:val="17"/>
              </w:rPr>
              <w:t>Riformulata come funzione detentiva istituzionale</w:t>
            </w:r>
          </w:p>
        </w:tc>
        <w:tc>
          <w:tcPr>
            <w:tcW w:type="dxa" w:w="2000"/>
            <w:tcMar>
              <w:top w:w="80" w:type="dxa"/>
              <w:start w:w="120" w:type="dxa"/>
              <w:bottom w:w="80" w:type="dxa"/>
              <w:end w:w="120" w:type="dxa"/>
            </w:tcMar>
            <w:vAlign w:val="top"/>
          </w:tcPr>
          <w:p>
            <w:r>
              <w:rPr>
                <w:rFonts w:ascii="Calibri" w:hAnsi="Calibri"/>
                <w:sz w:val="17"/>
              </w:rPr>
              <w:t>Rielaborazione</w:t>
            </w:r>
          </w:p>
        </w:tc>
      </w:tr>
      <w:tr>
        <w:tc>
          <w:tcPr>
            <w:tcW w:type="dxa" w:w="1650"/>
            <w:tcMar>
              <w:top w:w="80" w:type="dxa"/>
              <w:start w:w="120" w:type="dxa"/>
              <w:bottom w:w="80" w:type="dxa"/>
              <w:end w:w="120" w:type="dxa"/>
            </w:tcMar>
            <w:vAlign w:val="top"/>
          </w:tcPr>
          <w:p>
            <w:r>
              <w:rPr>
                <w:b/>
              </w:rPr>
              <w:t>Via protetta da Seth</w:t>
            </w:r>
          </w:p>
        </w:tc>
        <w:tc>
          <w:tcPr>
            <w:tcW w:type="dxa" w:w="2320"/>
            <w:tcMar>
              <w:top w:w="80" w:type="dxa"/>
              <w:start w:w="120" w:type="dxa"/>
              <w:bottom w:w="80" w:type="dxa"/>
              <w:end w:w="120" w:type="dxa"/>
            </w:tcMar>
            <w:vAlign w:val="top"/>
          </w:tcPr>
          <w:p>
            <w:r>
              <w:rPr>
                <w:b w:val="0"/>
              </w:rPr>
              <w:t>Protezione solare già documentata</w:t>
            </w:r>
          </w:p>
        </w:tc>
        <w:tc>
          <w:tcPr>
            <w:tcW w:type="dxa" w:w="3390"/>
            <w:tcMar>
              <w:top w:w="80" w:type="dxa"/>
              <w:start w:w="120" w:type="dxa"/>
              <w:bottom w:w="80" w:type="dxa"/>
              <w:end w:w="120" w:type="dxa"/>
            </w:tcMar>
            <w:vAlign w:val="top"/>
          </w:tcPr>
          <w:p>
            <w:r>
              <w:rPr>
                <w:b/>
              </w:rPr>
              <w:t>Trasformata in principio filosofico di passaggio</w:t>
            </w:r>
          </w:p>
        </w:tc>
        <w:tc>
          <w:tcPr>
            <w:tcW w:type="dxa" w:w="2000"/>
            <w:tcMar>
              <w:top w:w="80" w:type="dxa"/>
              <w:start w:w="120" w:type="dxa"/>
              <w:bottom w:w="80" w:type="dxa"/>
              <w:end w:w="120" w:type="dxa"/>
            </w:tcMar>
            <w:vAlign w:val="top"/>
          </w:tcPr>
          <w:p>
            <w:r>
              <w:rPr>
                <w:b w:val="0"/>
              </w:rPr>
              <w:t>Sintesi funzionale</w:t>
            </w:r>
          </w:p>
        </w:tc>
      </w:tr>
      <w:tr>
        <w:tc>
          <w:tcPr>
            <w:tcW w:type="dxa" w:w="1650"/>
            <w:tcMar>
              <w:top w:w="80" w:type="dxa"/>
              <w:start w:w="120" w:type="dxa"/>
              <w:bottom w:w="80" w:type="dxa"/>
              <w:end w:w="120" w:type="dxa"/>
            </w:tcMar>
            <w:vAlign w:val="top"/>
          </w:tcPr>
          <w:p>
            <w:r>
              <w:rPr>
                <w:b/>
              </w:rPr>
              <w:t>Tribunale e non condanna</w:t>
            </w:r>
          </w:p>
        </w:tc>
        <w:tc>
          <w:tcPr>
            <w:tcW w:type="dxa" w:w="2320"/>
            <w:tcMar>
              <w:top w:w="80" w:type="dxa"/>
              <w:start w:w="120" w:type="dxa"/>
              <w:bottom w:w="80" w:type="dxa"/>
              <w:end w:w="120" w:type="dxa"/>
            </w:tcMar>
            <w:vAlign w:val="top"/>
          </w:tcPr>
          <w:p>
            <w:r>
              <w:rPr>
                <w:b w:val="0"/>
              </w:rPr>
              <w:t>Sequenza narrativa nota</w:t>
            </w:r>
          </w:p>
        </w:tc>
        <w:tc>
          <w:tcPr>
            <w:tcW w:type="dxa" w:w="3390"/>
            <w:tcMar>
              <w:top w:w="80" w:type="dxa"/>
              <w:start w:w="120" w:type="dxa"/>
              <w:bottom w:w="80" w:type="dxa"/>
              <w:end w:w="120" w:type="dxa"/>
            </w:tcMar>
            <w:vAlign w:val="top"/>
          </w:tcPr>
          <w:p>
            <w:r>
              <w:rPr>
                <w:b/>
              </w:rPr>
              <w:t>Separazione fra successione e responsabilità per omicidio</w:t>
            </w:r>
          </w:p>
        </w:tc>
        <w:tc>
          <w:tcPr>
            <w:tcW w:type="dxa" w:w="2000"/>
            <w:tcMar>
              <w:top w:w="80" w:type="dxa"/>
              <w:start w:w="120" w:type="dxa"/>
              <w:bottom w:w="80" w:type="dxa"/>
              <w:end w:w="120" w:type="dxa"/>
            </w:tcMar>
            <w:vAlign w:val="top"/>
          </w:tcPr>
          <w:p>
            <w:r>
              <w:rPr>
                <w:b w:val="0"/>
              </w:rPr>
              <w:t>Rilettura giuridica</w:t>
            </w:r>
          </w:p>
        </w:tc>
      </w:tr>
      <w:tr>
        <w:tc>
          <w:tcPr>
            <w:tcW w:type="dxa" w:w="1650"/>
            <w:tcMar>
              <w:top w:w="80" w:type="dxa"/>
              <w:start w:w="120" w:type="dxa"/>
              <w:bottom w:w="80" w:type="dxa"/>
              <w:end w:w="120" w:type="dxa"/>
            </w:tcMar>
            <w:vAlign w:val="top"/>
          </w:tcPr>
          <w:p>
            <w:r>
              <w:rPr>
                <w:b/>
              </w:rPr>
              <w:t>Seth demonizzato</w:t>
            </w:r>
          </w:p>
        </w:tc>
        <w:tc>
          <w:tcPr>
            <w:tcW w:type="dxa" w:w="2320"/>
            <w:tcMar>
              <w:top w:w="80" w:type="dxa"/>
              <w:start w:w="120" w:type="dxa"/>
              <w:bottom w:w="80" w:type="dxa"/>
              <w:end w:w="120" w:type="dxa"/>
            </w:tcMar>
            <w:vAlign w:val="top"/>
          </w:tcPr>
          <w:p>
            <w:r>
              <w:rPr>
                <w:b w:val="0"/>
              </w:rPr>
              <w:t>Vilificazione ed erasure già studiate</w:t>
            </w:r>
          </w:p>
        </w:tc>
        <w:tc>
          <w:tcPr>
            <w:tcW w:type="dxa" w:w="3390"/>
            <w:tcMar>
              <w:top w:w="80" w:type="dxa"/>
              <w:start w:w="120" w:type="dxa"/>
              <w:bottom w:w="80" w:type="dxa"/>
              <w:end w:w="120" w:type="dxa"/>
            </w:tcMar>
            <w:vAlign w:val="top"/>
          </w:tcPr>
          <w:p>
            <w:r>
              <w:rPr>
                <w:b/>
              </w:rPr>
              <w:t>Ricostruzione stratificata, non totalizzante</w:t>
            </w:r>
          </w:p>
        </w:tc>
        <w:tc>
          <w:tcPr>
            <w:tcW w:type="dxa" w:w="2000"/>
            <w:tcMar>
              <w:top w:w="80" w:type="dxa"/>
              <w:start w:w="120" w:type="dxa"/>
              <w:bottom w:w="80" w:type="dxa"/>
              <w:end w:w="120" w:type="dxa"/>
            </w:tcMar>
            <w:vAlign w:val="top"/>
          </w:tcPr>
          <w:p>
            <w:r>
              <w:rPr>
                <w:b w:val="0"/>
              </w:rPr>
              <w:t>Sintesi storico-critica</w:t>
            </w:r>
          </w:p>
        </w:tc>
      </w:tr>
      <w:tr>
        <w:tc>
          <w:tcPr>
            <w:tcW w:type="dxa" w:w="1650"/>
            <w:vAlign w:val="center"/>
          </w:tcPr>
          <w:p>
            <w:pPr>
              <w:spacing w:after="40" w:before="40"/>
            </w:pPr>
            <w:r>
              <w:rPr>
                <w:b/>
              </w:rPr>
              <w:t>Pugnale di Tutankhamon</w:t>
            </w:r>
          </w:p>
        </w:tc>
        <w:tc>
          <w:tcPr>
            <w:tcW w:type="dxa" w:w="2320"/>
            <w:vAlign w:val="center"/>
          </w:tcPr>
          <w:p>
            <w:pPr>
              <w:spacing w:after="40" w:before="40"/>
            </w:pPr>
            <w:r>
              <w:rPr>
                <w:b w:val="0"/>
              </w:rPr>
              <w:t>Origine meteoritica stabilita</w:t>
            </w:r>
          </w:p>
        </w:tc>
        <w:tc>
          <w:tcPr>
            <w:tcW w:type="dxa" w:w="3390"/>
            <w:vAlign w:val="center"/>
          </w:tcPr>
          <w:p>
            <w:pPr>
              <w:spacing w:after="40" w:before="40"/>
            </w:pPr>
            <w:r>
              <w:rPr>
                <w:b/>
              </w:rPr>
              <w:t>Dato materiale separato dalle inferenze teologiche</w:t>
            </w:r>
          </w:p>
        </w:tc>
        <w:tc>
          <w:tcPr>
            <w:tcW w:type="dxa" w:w="2000"/>
            <w:vAlign w:val="center"/>
          </w:tcPr>
          <w:p>
            <w:pPr>
              <w:spacing w:after="40" w:before="40"/>
            </w:pPr>
            <w:r>
              <w:rPr>
                <w:b w:val="0"/>
              </w:rPr>
              <w:t>Controllo archeometrico</w:t>
            </w:r>
          </w:p>
        </w:tc>
      </w:tr>
    </w:tbl>
    <w:p>
      <w:r>
        <w:rPr>
          <w:rFonts w:ascii="Calibri" w:hAnsi="Calibri"/>
          <w:i/>
        </w:rPr>
        <w:t>Nota: «nuovo» indica il contributo della presente sintesi rispetto alla bibliografia esaminata, non una priorità assoluta.</w:t>
      </w:r>
    </w:p>
    <w:p>
      <w:pPr>
        <w:pStyle w:val="Heading2"/>
      </w:pPr>
      <w:r>
        <w:rPr>
          <w:rFonts w:ascii="Calibri" w:hAnsi="Calibri"/>
        </w:rPr>
        <w:t>14.5 Fonti aggiunte per l’aggiornamento</w:t>
      </w:r>
    </w:p>
    <w:p>
      <w:pPr/>
      <w:r>
        <w:t>[S39] Miriam Lichtheim, Ancient Egyptian Literature, vol. II: The New Kingdom, University of California Press, 1976, pp. 214–223: traduzione delle Contese di Horus e Seth.</w:t>
      </w:r>
    </w:p>
    <w:p>
      <w:pPr/>
      <w:r>
        <w:t>[S45] Deborah Sweeney, «Gender and Conversational Tactics in the Contendings of Horus and Seth», Journal of Egyptian Archaeology 88 (2002), pp. 141–162, DOI 10.1177/030751330208800110: minacce, collera e persuasione nel procedimento.</w:t>
      </w:r>
    </w:p>
    <w:p>
      <w:pPr/>
      <w:r>
        <w:t>[S46] Alexandra von Lieven, «Seth ist im Recht, Osiris ist im Unrecht!», Zeitschrift für Ägyptische Sprache und Altertumskunde 133/2 (2006), pp. 141–150, DOI 10.1524/zaes.2006.133.2.141: contro-versioni nei centri di culto di Seth.</w:t>
      </w:r>
    </w:p>
    <w:p>
      <w:pPr/>
      <w:r>
        <w:t>[S2] Janne Arp-Neumann, «Negating Seth: Destruction as Vitality», Numen 68/2–3 (2021), pp. 157–179, DOI 10.1163/15685276-12341619: alterazione contestuale di nomi e immagini.</w:t>
      </w:r>
    </w:p>
    <w:p>
      <w:pPr/>
      <w:r>
        <w:t>[S3] Colin A. Hope e Andrew R. Warfe, «The Proscription of Seth Revisited», in The Cultural Manifestations of Religious Experience, 2017, pp. 273–284: evidenza di vilificazione, erasure e persistenza regionale.</w:t>
      </w:r>
    </w:p>
    <w:p>
      <w:pPr/>
      <w:r>
        <w:t>[S47] Daniela Comelli et al., «The Meteoritic Origin of Tutankhamun’s Iron Dagger Blade», Meteoritics &amp; Planetary Science 51/7 (2016), pp. 1301–1309, DOI 10.1111/maps.12664.</w:t>
      </w:r>
    </w:p>
    <w:p>
      <w:pPr/>
      <w:r>
        <w:t>[S48] Takafumi Matsui et al., «The Manufacture and Origin of the Tutankhamen Meteoritic Iron Dagger», Meteoritics &amp; Planetary Science 57/4 (2022), pp. 747–758, DOI 10.1111/maps.13787.</w:t>
      </w:r>
    </w:p>
    <w:p>
      <w:pPr/>
      <w:r>
        <w:t>[S49] Albert Jambon, «A Comment to: “The Manufacture and Origin of the Tutankhamun Meteoritic Iron Dagger”», Meteoritics &amp; Planetary Science 58/1 (2023), pp. 165–168, DOI 10.1111/maps.13942.</w:t>
      </w:r>
    </w:p>
    <w:p>
      <w:pPr>
        <w:pStyle w:val="Heading2"/>
        <w:keepNext/>
      </w:pPr>
      <w:r>
        <w:rPr>
          <w:rFonts w:ascii="Calibri" w:hAnsi="Calibri"/>
        </w:rPr>
        <w:t>14.6 Il processo di Seth e l’intervento di Osiride</w:t>
      </w:r>
    </w:p>
    <w:p>
      <w:pPr/>
      <w:r>
        <w:rPr>
          <w:b/>
          <w:color w:val="1F4D78"/>
        </w:rPr>
        <w:t xml:space="preserve">Dato testuale. </w:t>
      </w:r>
      <w:r>
        <w:t>Il Papiro Chester Beatty I mette in scena una lite per la carica regale. La domanda è chi sia nel giusto come successore di Osiride; non compare una fase istruttoria o una pena per il suo omicidio.</w:t>
      </w:r>
    </w:p>
    <w:p>
      <w:pPr/>
      <w:r>
        <w:rPr>
          <w:b/>
          <w:color w:val="1F4D78"/>
        </w:rPr>
        <w:t xml:space="preserve">Pressioni sul collegio. </w:t>
      </w:r>
      <w:r>
        <w:t>Neith consiglia di assegnare la carica a Horus e compensare Seth; Osiride, consultato in seguito, reagisce con una minaccia fondata sui propri messaggeri dell’aldilà. Sweeney mostra che minacce, esplosioni d’ira e ricompense sono tattiche ricorrenti nel racconto.</w:t>
      </w:r>
    </w:p>
    <w:p>
      <w:pPr/>
      <w:r>
        <w:rPr>
          <w:b/>
          <w:color w:val="1F4D78"/>
        </w:rPr>
        <w:t xml:space="preserve">Esito. </w:t>
      </w:r>
      <w:r>
        <w:t>Horus ottiene la carica. Seth è legato e subordinato, ma Ra-Harakhti lo prende con sé come figlio e lo associa alla voce del tuono. La conclusione distingue perdita politica e permanenza divina.</w:t>
      </w:r>
    </w:p>
    <w:p>
      <w:pPr/>
      <w:r>
        <w:rPr>
          <w:b/>
          <w:color w:val="1F4D78"/>
        </w:rPr>
        <w:t xml:space="preserve">Giudizio storico. </w:t>
      </w:r>
      <w:r>
        <w:t>È provata l’assenza di una condanna per omicidio nel racconto conservato e l’efficacia dell’intervento di Osiride. È un’inferenza, non una prova diretta, che il mito rifletta un conflitto anteriore più grave; le contro-tradizioni raccolte da von Lieven rendono tuttavia l’inferenza storicamente motivata.</w:t>
      </w:r>
    </w:p>
    <w:p>
      <w:pPr>
        <w:pStyle w:val="Heading2"/>
        <w:keepNext/>
      </w:pPr>
      <w:r>
        <w:rPr>
          <w:rFonts w:ascii="Calibri" w:hAnsi="Calibri"/>
        </w:rPr>
        <w:t>14.7 Dalla cancellazione alla demonizzazione</w:t>
      </w:r>
    </w:p>
    <w:p>
      <w:pPr/>
      <w:r>
        <w:rPr>
          <w:b/>
          <w:color w:val="1F4D78"/>
        </w:rPr>
        <w:t xml:space="preserve">Evidenza materiale e testuale. </w:t>
      </w:r>
      <w:r>
        <w:t>Dal XXV secolo in avanti aumentano testi ostili, riscritture del determinativo, scalpellature e pratiche di neutralizzazione. Il Libro della vittoria su Seth porta la polemica a un livello esplicito di abbattimento ed espulsione.</w:t>
      </w:r>
    </w:p>
    <w:p>
      <w:pPr/>
      <w:r>
        <w:rPr>
          <w:b/>
          <w:color w:val="1F4D78"/>
        </w:rPr>
        <w:t xml:space="preserve">Correzione necessaria. </w:t>
      </w:r>
      <w:r>
        <w:t>Hope e Warfe documentano persistenze regionali; Arp-Neumann osserva che alcune trasformazioni potevano servire a controllare ritualmente una potenza ancora attiva. «Cancellazione» descrive il gesto; «proscrizione totale» è una tesi più forte e non sempre sostenibile.</w:t>
      </w:r>
    </w:p>
    <w:p>
      <w:pPr/>
      <w:r>
        <w:rPr>
          <w:b/>
          <w:color w:val="1F4D78"/>
        </w:rPr>
        <w:t xml:space="preserve">Demonizzazione. </w:t>
      </w:r>
      <w:r>
        <w:t>La sovrapposizione con il nemico cosmico e, in età greco-romana, con Tifone produce un Seth più unilateralmente negativo. La filosofia deve distinguere questa fase dal dio che protegge Ra e che il racconto ramesside non elimina.</w:t>
      </w:r>
    </w:p>
    <w:p>
      <w:pPr>
        <w:pStyle w:val="Heading2"/>
        <w:keepNext/>
      </w:pPr>
      <w:r>
        <w:rPr>
          <w:rFonts w:ascii="Calibri" w:hAnsi="Calibri"/>
        </w:rPr>
        <w:t>14.8 La via protetta da Seth e il dato di Tutankhamon</w:t>
      </w:r>
    </w:p>
    <w:p>
      <w:pPr/>
      <w:r>
        <w:rPr>
          <w:b/>
          <w:color w:val="1F4D78"/>
        </w:rPr>
        <w:t xml:space="preserve">Serie A — protezione. </w:t>
      </w:r>
      <w:r>
        <w:t>Seth respinge Apopi, garantisce il movimento della barca, non viene condannato per l’omicidio nel testimone ramesside e conserva una funzione presso Ra.</w:t>
      </w:r>
    </w:p>
    <w:p>
      <w:pPr/>
      <w:r>
        <w:rPr>
          <w:b/>
          <w:color w:val="1F4D78"/>
        </w:rPr>
        <w:t xml:space="preserve">Serie B — riscrittura. </w:t>
      </w:r>
      <w:r>
        <w:t>Il tribunale è influenzato dall’intervento di Osiride; in epoche successive Seth viene colpito da cancellazioni e rituali di demonizzazione.</w:t>
      </w:r>
    </w:p>
    <w:p>
      <w:pPr/>
      <w:r>
        <w:rPr>
          <w:b/>
          <w:color w:val="1F4D78"/>
        </w:rPr>
        <w:t xml:space="preserve">Convergenza. </w:t>
      </w:r>
      <w:r>
        <w:t>La «via protetta da Seth» nomina filosoficamente la continuità fra difesa del transito, resistenza all’eliminazione e recupero critico di una figura oscurata da ricezioni tarde. È forte come sintesi funzionale, non come formula antica letterale.</w:t>
      </w:r>
    </w:p>
    <w:p>
      <w:pPr/>
      <w:r>
        <w:rPr>
          <w:b/>
          <w:color w:val="1F4D78"/>
        </w:rPr>
        <w:t xml:space="preserve">Tutankhamon. </w:t>
      </w:r>
      <w:r>
        <w:t>La lama meteoritica fornisce un modello metodologico: un legame materiale con il cielo può essere dimostrato mediante composizione chimica; i significati religiosi aggiunti devono invece restare distinti e graduati.</w:t>
      </w:r>
    </w:p>
    <w:p>
      <w:pPr/>
      <w:r>
        <w:rPr>
          <w:b/>
          <w:color w:val="1F4D78"/>
        </w:rPr>
        <w:t xml:space="preserve">Novità. </w:t>
      </w:r>
      <w:r>
        <w:t>Il contributo non consiste nell’inventare i dati, ma nel collegare processo, protezione, contro-tradizioni, cancellazione e archeometria in una genealogia verificabile della libertà di passaggio.</w:t>
      </w:r>
    </w:p>
    <w:p>
      <w:pPr>
        <w:pStyle w:val="Heading1"/>
        <w:keepNext/>
        <w:pageBreakBefore/>
      </w:pPr>
      <w:r>
        <w:t>15. Fonti primarie e studi</w:t>
      </w:r>
    </w:p>
    <w:p>
      <w:pPr>
        <w:pStyle w:val="Heading2"/>
        <w:keepNext/>
      </w:pPr>
      <w:r>
        <w:rPr>
          <w:rFonts w:ascii="Calibri" w:hAnsi="Calibri"/>
        </w:rPr>
        <w:t>15.1 Fonti primarie e corpora</w:t>
      </w:r>
    </w:p>
    <w:p>
      <w:pPr>
        <w:spacing w:line="276" w:lineRule="auto" w:after="80"/>
      </w:pPr>
      <w:r>
        <w:rPr>
          <w:b/>
        </w:rPr>
        <w:t xml:space="preserve">[P1] </w:t>
      </w:r>
      <w:r>
        <w:t>James P. Allen, The Ancient Egyptian Pyramid Texts.</w:t>
      </w:r>
      <w:r>
        <w:t xml:space="preserve"> PT 213 e PT 477.</w:t>
      </w:r>
      <w:r>
        <w:t xml:space="preserve"> </w:t>
      </w:r>
      <w:hyperlink r:id="rId11">
        <w:r>
          <w:rPr>
            <w:color w:val="2F5597"/>
            <w:u w:val="single"/>
          </w:rPr>
          <w:t>Apri la fonte</w:t>
        </w:r>
      </w:hyperlink>
    </w:p>
    <w:p>
      <w:pPr>
        <w:spacing w:line="276" w:lineRule="auto" w:after="80"/>
      </w:pPr>
      <w:r>
        <w:rPr>
          <w:b/>
        </w:rPr>
        <w:t xml:space="preserve">[P2] </w:t>
      </w:r>
      <w:r>
        <w:t>UCL Digital Egypt, Book of the Dead by number.</w:t>
      </w:r>
      <w:r>
        <w:t xml:space="preserve"> Capitoli di mobilità, porte e navigazione solare.</w:t>
      </w:r>
      <w:r>
        <w:t xml:space="preserve"> </w:t>
      </w:r>
      <w:hyperlink r:id="rId12">
        <w:r>
          <w:rPr>
            <w:color w:val="2F5597"/>
            <w:u w:val="single"/>
          </w:rPr>
          <w:t>Apri la fonte</w:t>
        </w:r>
      </w:hyperlink>
    </w:p>
    <w:p>
      <w:pPr>
        <w:spacing w:line="276" w:lineRule="auto" w:after="80"/>
      </w:pPr>
      <w:r>
        <w:rPr>
          <w:b/>
        </w:rPr>
        <w:t xml:space="preserve">[P3] </w:t>
      </w:r>
      <w:r>
        <w:t>UCL Digital Egypt, Book of the Dead, chapter 17.</w:t>
      </w:r>
      <w:r>
        <w:t xml:space="preserve"> Conoscenza dei nomi, guardiani e identificazioni rituali.</w:t>
      </w:r>
      <w:r>
        <w:t xml:space="preserve"> </w:t>
      </w:r>
      <w:hyperlink r:id="rId13">
        <w:r>
          <w:rPr>
            <w:color w:val="2F5597"/>
            <w:u w:val="single"/>
          </w:rPr>
          <w:t>Apri la fonte</w:t>
        </w:r>
      </w:hyperlink>
    </w:p>
    <w:p>
      <w:pPr>
        <w:spacing w:line="276" w:lineRule="auto" w:after="80"/>
      </w:pPr>
      <w:r>
        <w:rPr>
          <w:b/>
        </w:rPr>
        <w:t xml:space="preserve">[P5] </w:t>
      </w:r>
      <w:r>
        <w:t>Plutarco, De Iside et Osiride.</w:t>
      </w:r>
      <w:r>
        <w:t xml:space="preserve"> Ricezione greco-romana di Osiride, Iside e Seth-Tifone.</w:t>
      </w:r>
      <w:r>
        <w:t xml:space="preserve"> </w:t>
      </w:r>
      <w:hyperlink r:id="rId15">
        <w:r>
          <w:rPr>
            <w:color w:val="2F5597"/>
            <w:u w:val="single"/>
          </w:rPr>
          <w:t>Apri la fonte</w:t>
        </w:r>
      </w:hyperlink>
    </w:p>
    <w:p>
      <w:pPr>
        <w:spacing w:line="276" w:lineRule="auto" w:after="80"/>
      </w:pPr>
      <w:r>
        <w:rPr>
          <w:b/>
        </w:rPr>
        <w:t xml:space="preserve">[P6] </w:t>
      </w:r>
      <w:r>
        <w:t>Royal Collection Trust, Amduat: the sixth hour.</w:t>
      </w:r>
      <w:r>
        <w:t xml:space="preserve"> Transito e rigenerazione solare.</w:t>
      </w:r>
      <w:r>
        <w:t xml:space="preserve"> </w:t>
      </w:r>
      <w:hyperlink r:id="rId16">
        <w:r>
          <w:rPr>
            <w:color w:val="2F5597"/>
            <w:u w:val="single"/>
          </w:rPr>
          <w:t>Apri la fonte</w:t>
        </w:r>
      </w:hyperlink>
    </w:p>
    <w:p>
      <w:pPr>
        <w:spacing w:line="276" w:lineRule="auto" w:after="80"/>
      </w:pPr>
      <w:r>
        <w:rPr>
          <w:b/>
        </w:rPr>
        <w:t xml:space="preserve">[P11] </w:t>
      </w:r>
      <w:r>
        <w:t>Metropolitan Museum of Art, Egypt in the Old Kingdom.</w:t>
      </w:r>
      <w:r>
        <w:t xml:space="preserve"> Culti funerari e sviluppo osiriaco.</w:t>
      </w:r>
      <w:r>
        <w:t xml:space="preserve"> </w:t>
      </w:r>
      <w:hyperlink r:id="rId21">
        <w:r>
          <w:rPr>
            <w:color w:val="2F5597"/>
            <w:u w:val="single"/>
          </w:rPr>
          <w:t>Apri la fonte</w:t>
        </w:r>
      </w:hyperlink>
    </w:p>
    <w:p>
      <w:pPr>
        <w:spacing w:line="276" w:lineRule="auto" w:after="80"/>
      </w:pPr>
      <w:r>
        <w:rPr>
          <w:b/>
        </w:rPr>
        <w:t xml:space="preserve">[P12] </w:t>
      </w:r>
      <w:r>
        <w:t>Fitzwilliam Museum, Osiris.</w:t>
      </w:r>
      <w:r>
        <w:t xml:space="preserve"> Regalità sui morti e continuità postuma.</w:t>
      </w:r>
      <w:r>
        <w:t xml:space="preserve"> </w:t>
      </w:r>
      <w:hyperlink r:id="rId22">
        <w:r>
          <w:rPr>
            <w:color w:val="2F5597"/>
            <w:u w:val="single"/>
          </w:rPr>
          <w:t>Apri la fonte</w:t>
        </w:r>
      </w:hyperlink>
    </w:p>
    <w:p>
      <w:pPr>
        <w:spacing w:line="276" w:lineRule="auto" w:after="80"/>
      </w:pPr>
      <w:r>
        <w:rPr>
          <w:b/>
        </w:rPr>
        <w:t xml:space="preserve">[P13] </w:t>
      </w:r>
      <w:r>
        <w:t>UCL Digital Egypt, Book of the Dead, chapter 125B.</w:t>
      </w:r>
      <w:r>
        <w:t xml:space="preserve"> Giudizio e quarantadue valutatori.</w:t>
      </w:r>
      <w:r>
        <w:t xml:space="preserve"> </w:t>
      </w:r>
      <w:hyperlink r:id="rId23">
        <w:r>
          <w:rPr>
            <w:color w:val="2F5597"/>
            <w:u w:val="single"/>
          </w:rPr>
          <w:t>Apri la fonte</w:t>
        </w:r>
      </w:hyperlink>
    </w:p>
    <w:p>
      <w:pPr>
        <w:spacing w:line="276" w:lineRule="auto" w:after="80"/>
      </w:pPr>
      <w:r>
        <w:rPr>
          <w:b/>
        </w:rPr>
        <w:t xml:space="preserve">[P14] </w:t>
      </w:r>
      <w:r>
        <w:t>R. O. Faulkner, The Ancient Egyptian Coffin Texts, vol. II.</w:t>
      </w:r>
      <w:r>
        <w:t xml:space="preserve"> CT 491 e CT 837.</w:t>
      </w:r>
      <w:r>
        <w:t xml:space="preserve"> </w:t>
      </w:r>
      <w:hyperlink r:id="rId24">
        <w:r>
          <w:rPr>
            <w:color w:val="2F5597"/>
            <w:u w:val="single"/>
          </w:rPr>
          <w:t>Apri la fonte</w:t>
        </w:r>
      </w:hyperlink>
    </w:p>
    <w:p>
      <w:pPr>
        <w:spacing w:line="276" w:lineRule="auto" w:after="80"/>
      </w:pPr>
      <w:r>
        <w:rPr>
          <w:b/>
        </w:rPr>
        <w:t xml:space="preserve">[P17] </w:t>
      </w:r>
      <w:r>
        <w:t>Adriaan de Buck, The Egyptian Coffin Texts VI.</w:t>
      </w:r>
      <w:r>
        <w:t xml:space="preserve"> Facsimili e varianti dei testi di passaggio.</w:t>
      </w:r>
      <w:r>
        <w:t xml:space="preserve"> </w:t>
      </w:r>
      <w:hyperlink r:id="rId27">
        <w:r>
          <w:rPr>
            <w:color w:val="2F5597"/>
            <w:u w:val="single"/>
          </w:rPr>
          <w:t>Apri la fonte</w:t>
        </w:r>
      </w:hyperlink>
    </w:p>
    <w:p>
      <w:pPr>
        <w:spacing w:line="276" w:lineRule="auto" w:after="80"/>
      </w:pPr>
      <w:r>
        <w:rPr>
          <w:b/>
        </w:rPr>
        <w:t xml:space="preserve">[P19] </w:t>
      </w:r>
      <w:r>
        <w:t>The Greenfield Papyrus, BM EA 10554–87.</w:t>
      </w:r>
      <w:r>
        <w:t xml:space="preserve"> Titolo del capitolo 91 sulla non-restrizione del ba.</w:t>
      </w:r>
      <w:r>
        <w:t xml:space="preserve"> </w:t>
      </w:r>
      <w:hyperlink r:id="rId56">
        <w:r>
          <w:rPr>
            <w:color w:val="2F5597"/>
            <w:u w:val="single"/>
          </w:rPr>
          <w:t>Apri la fonte</w:t>
        </w:r>
      </w:hyperlink>
    </w:p>
    <w:p>
      <w:pPr>
        <w:spacing w:line="276" w:lineRule="auto" w:after="80"/>
      </w:pPr>
      <w:r>
        <w:rPr>
          <w:b/>
        </w:rPr>
        <w:t xml:space="preserve">[P22] </w:t>
      </w:r>
      <w:r>
        <w:t>Chester Beatty Library, Papiro Chester Beatty I.</w:t>
      </w:r>
      <w:r>
        <w:t xml:space="preserve"> Manoscritto delle Contese di Horus e Seth.</w:t>
      </w:r>
      <w:r>
        <w:t xml:space="preserve"> </w:t>
      </w:r>
      <w:hyperlink r:id="rId57">
        <w:r>
          <w:rPr>
            <w:color w:val="2F5597"/>
            <w:u w:val="single"/>
          </w:rPr>
          <w:t>Apri la fonte</w:t>
        </w:r>
      </w:hyperlink>
    </w:p>
    <w:p>
      <w:pPr>
        <w:spacing w:line="276" w:lineRule="auto" w:after="80"/>
      </w:pPr>
      <w:r>
        <w:rPr>
          <w:b/>
        </w:rPr>
        <w:t xml:space="preserve">[P23] </w:t>
      </w:r>
      <w:r>
        <w:t>British Museum EA 10252.</w:t>
      </w:r>
      <w:r>
        <w:t xml:space="preserve"> Rituali per abbattere Seth e i suoi confederati, 307/306 a.C.</w:t>
      </w:r>
      <w:r>
        <w:t xml:space="preserve"> </w:t>
      </w:r>
      <w:hyperlink r:id="rId58">
        <w:r>
          <w:rPr>
            <w:color w:val="2F5597"/>
            <w:u w:val="single"/>
          </w:rPr>
          <w:t>Apri la fonte</w:t>
        </w:r>
      </w:hyperlink>
    </w:p>
    <w:p>
      <w:pPr>
        <w:spacing w:line="276" w:lineRule="auto" w:after="80"/>
      </w:pPr>
      <w:r>
        <w:rPr>
          <w:b/>
        </w:rPr>
        <w:t xml:space="preserve">[P24] </w:t>
      </w:r>
      <w:r>
        <w:t>Libro dei Morti, capitolo 108.</w:t>
      </w:r>
      <w:r>
        <w:t xml:space="preserve"> Seth difende Ra contro il serpente che arresta il transito solare.</w:t>
      </w:r>
      <w:r>
        <w:t xml:space="preserve"> </w:t>
      </w:r>
      <w:hyperlink r:id="rId12">
        <w:r>
          <w:rPr>
            <w:color w:val="2F5597"/>
            <w:u w:val="single"/>
          </w:rPr>
          <w:t>Apri la fonte</w:t>
        </w:r>
      </w:hyperlink>
    </w:p>
    <w:p>
      <w:pPr>
        <w:pStyle w:val="Heading2"/>
        <w:keepNext/>
      </w:pPr>
      <w:r>
        <w:rPr>
          <w:rFonts w:ascii="Calibri" w:hAnsi="Calibri"/>
        </w:rPr>
        <w:t>15.2 Studi</w:t>
      </w:r>
    </w:p>
    <w:p>
      <w:pPr>
        <w:spacing w:line="276" w:lineRule="auto" w:after="80"/>
      </w:pPr>
      <w:r>
        <w:rPr>
          <w:b/>
        </w:rPr>
        <w:t xml:space="preserve">[S2] </w:t>
      </w:r>
      <w:r>
        <w:t>Janne Arp-Neumann, «Negating Seth: Destruction as Vitality», Numen 68/2–3 (2021), 157–179, DOI 10.1163/15685276-12341619.</w:t>
      </w:r>
      <w:r>
        <w:t xml:space="preserve"> Analisi contestuale delle alterazioni di nomi e immagini.</w:t>
      </w:r>
      <w:r>
        <w:t xml:space="preserve"> </w:t>
      </w:r>
      <w:hyperlink r:id="rId59">
        <w:r>
          <w:rPr>
            <w:color w:val="2F5597"/>
            <w:u w:val="single"/>
          </w:rPr>
          <w:t>Apri la fonte</w:t>
        </w:r>
      </w:hyperlink>
    </w:p>
    <w:p>
      <w:pPr>
        <w:spacing w:line="276" w:lineRule="auto" w:after="80"/>
      </w:pPr>
      <w:r>
        <w:rPr>
          <w:b/>
        </w:rPr>
        <w:t xml:space="preserve">[S3] </w:t>
      </w:r>
      <w:r>
        <w:t>Colin A. Hope e Andrew R. Warfe, «The Proscription of Seth Revisited» (2017), 273–284.</w:t>
      </w:r>
      <w:r>
        <w:t xml:space="preserve"> Vilificazione, erasure e persistenza regionale.</w:t>
      </w:r>
      <w:r>
        <w:t xml:space="preserve"> </w:t>
      </w:r>
      <w:hyperlink r:id="rId34">
        <w:r>
          <w:rPr>
            <w:color w:val="2F5597"/>
            <w:u w:val="single"/>
          </w:rPr>
          <w:t>Apri la fonte</w:t>
        </w:r>
      </w:hyperlink>
    </w:p>
    <w:p>
      <w:pPr>
        <w:spacing w:line="276" w:lineRule="auto" w:after="80"/>
      </w:pPr>
      <w:r>
        <w:rPr>
          <w:b/>
        </w:rPr>
        <w:t xml:space="preserve">[S13] </w:t>
      </w:r>
      <w:r>
        <w:t>Ronald J. Leprohon, «Gatekeepers of This and the Other World».</w:t>
      </w:r>
      <w:r>
        <w:t xml:space="preserve"> Accesso controllato e custodi dell’aldilà.</w:t>
      </w:r>
      <w:r>
        <w:t xml:space="preserve"> </w:t>
      </w:r>
      <w:hyperlink r:id="rId44">
        <w:r>
          <w:rPr>
            <w:color w:val="2F5597"/>
            <w:u w:val="single"/>
          </w:rPr>
          <w:t>Apri la fonte</w:t>
        </w:r>
      </w:hyperlink>
    </w:p>
    <w:p>
      <w:pPr>
        <w:spacing w:line="276" w:lineRule="auto" w:after="80"/>
      </w:pPr>
      <w:r>
        <w:rPr>
          <w:b/>
        </w:rPr>
        <w:t xml:space="preserve">[S14] </w:t>
      </w:r>
      <w:r>
        <w:t>Mariano Bonanno, «The Coffin Texts Spells 94–96 and 488–500 as Liturgy for the Living», ZDMG 168/2 (2018), 275–304.</w:t>
      </w:r>
      <w:r>
        <w:t xml:space="preserve"> Non-restrizione e libertà delle componenti personali.</w:t>
      </w:r>
      <w:r>
        <w:t xml:space="preserve"> </w:t>
      </w:r>
      <w:hyperlink r:id="rId45">
        <w:r>
          <w:rPr>
            <w:color w:val="2F5597"/>
            <w:u w:val="single"/>
          </w:rPr>
          <w:t>Apri la fonte</w:t>
        </w:r>
      </w:hyperlink>
    </w:p>
    <w:p>
      <w:pPr>
        <w:spacing w:line="276" w:lineRule="auto" w:after="80"/>
      </w:pPr>
      <w:r>
        <w:rPr>
          <w:b/>
        </w:rPr>
        <w:t xml:space="preserve">[S16] </w:t>
      </w:r>
      <w:r>
        <w:t>Susanne Binder, «The Hereafter».</w:t>
      </w:r>
      <w:r>
        <w:t xml:space="preserve"> Amduat e conoscenza come potere di transito.</w:t>
      </w:r>
      <w:r>
        <w:t xml:space="preserve"> </w:t>
      </w:r>
      <w:hyperlink r:id="rId47">
        <w:r>
          <w:rPr>
            <w:color w:val="2F5597"/>
            <w:u w:val="single"/>
          </w:rPr>
          <w:t>Apri la fonte</w:t>
        </w:r>
      </w:hyperlink>
    </w:p>
    <w:p>
      <w:pPr>
        <w:spacing w:line="276" w:lineRule="auto" w:after="80"/>
      </w:pPr>
      <w:r>
        <w:rPr>
          <w:b/>
        </w:rPr>
        <w:t xml:space="preserve">[S18] </w:t>
      </w:r>
      <w:r>
        <w:t>Khaled Hassan, «The Book of the Dead Manuscripts of the Lady Hatnefer in the Egyptian Museum of Cairo», JEA 108/1–2 (2022), 45–61, DOI 10.1177/03075133221141908.</w:t>
      </w:r>
      <w:r>
        <w:t xml:space="preserve"> Attestazioni e funzione del capitolo 91.</w:t>
      </w:r>
      <w:r>
        <w:t xml:space="preserve"> </w:t>
      </w:r>
      <w:hyperlink r:id="rId60">
        <w:r>
          <w:rPr>
            <w:color w:val="2F5597"/>
            <w:u w:val="single"/>
          </w:rPr>
          <w:t>Apri la fonte</w:t>
        </w:r>
      </w:hyperlink>
    </w:p>
    <w:p>
      <w:pPr>
        <w:spacing w:line="276" w:lineRule="auto" w:after="80"/>
      </w:pPr>
      <w:r>
        <w:rPr>
          <w:b/>
        </w:rPr>
        <w:t xml:space="preserve">[S22] </w:t>
      </w:r>
      <w:r>
        <w:t>François Gaudard, «On the ‘Immortality’ of the God Seth», in Illuminating Osiris (2017), 93–98.</w:t>
      </w:r>
      <w:r>
        <w:t xml:space="preserve"> Non-morte rituale di Seth.</w:t>
      </w:r>
      <w:r>
        <w:t xml:space="preserve"> </w:t>
      </w:r>
      <w:hyperlink r:id="rId53">
        <w:r>
          <w:rPr>
            <w:color w:val="2F5597"/>
            <w:u w:val="single"/>
          </w:rPr>
          <w:t>Apri la fonte</w:t>
        </w:r>
      </w:hyperlink>
    </w:p>
    <w:p>
      <w:pPr>
        <w:spacing w:line="276" w:lineRule="auto" w:after="80"/>
      </w:pPr>
      <w:r>
        <w:rPr>
          <w:b/>
        </w:rPr>
        <w:t xml:space="preserve">[S37] </w:t>
      </w:r>
      <w:r>
        <w:t>Robert K. Ritner, The Mechanics of Ancient Egyptian Magical Practice, SAOC 54.</w:t>
      </w:r>
      <w:r>
        <w:t xml:space="preserve"> Seth protettore della barca in Libro dei Morti 108.</w:t>
      </w:r>
      <w:r>
        <w:t xml:space="preserve"> </w:t>
      </w:r>
      <w:hyperlink r:id="rId61">
        <w:r>
          <w:rPr>
            <w:color w:val="2F5597"/>
            <w:u w:val="single"/>
          </w:rPr>
          <w:t>Apri la fonte</w:t>
        </w:r>
      </w:hyperlink>
    </w:p>
    <w:p>
      <w:pPr>
        <w:spacing w:line="276" w:lineRule="auto" w:after="80"/>
      </w:pPr>
      <w:r>
        <w:rPr>
          <w:b/>
        </w:rPr>
        <w:t xml:space="preserve">[S39] </w:t>
      </w:r>
      <w:r>
        <w:t>Miriam Lichtheim, Ancient Egyptian Literature, vol. II (1976), 214–223.</w:t>
      </w:r>
      <w:r>
        <w:t xml:space="preserve"> Traduzione delle Contese di Horus e Seth.</w:t>
      </w:r>
      <w:r>
        <w:t xml:space="preserve"> </w:t>
      </w:r>
      <w:hyperlink r:id="rId62">
        <w:r>
          <w:rPr>
            <w:color w:val="2F5597"/>
            <w:u w:val="single"/>
          </w:rPr>
          <w:t>Apri la fonte</w:t>
        </w:r>
      </w:hyperlink>
    </w:p>
    <w:p>
      <w:pPr>
        <w:spacing w:line="276" w:lineRule="auto" w:after="80"/>
      </w:pPr>
      <w:r>
        <w:rPr>
          <w:b/>
        </w:rPr>
        <w:t xml:space="preserve">[S45] </w:t>
      </w:r>
      <w:r>
        <w:t>Deborah Sweeney, «Gender and Conversational Tactics in the Contendings of Horus and Seth», JEA 88 (2002), 141–162, DOI 10.1177/030751330208800110.</w:t>
      </w:r>
      <w:r>
        <w:t xml:space="preserve"> Tattiche di pressione nel procedimento.</w:t>
      </w:r>
      <w:r>
        <w:t xml:space="preserve"> </w:t>
      </w:r>
      <w:hyperlink r:id="rId63">
        <w:r>
          <w:rPr>
            <w:color w:val="2F5597"/>
            <w:u w:val="single"/>
          </w:rPr>
          <w:t>Apri la fonte</w:t>
        </w:r>
      </w:hyperlink>
    </w:p>
    <w:p>
      <w:pPr>
        <w:spacing w:line="276" w:lineRule="auto" w:after="80"/>
      </w:pPr>
      <w:r>
        <w:rPr>
          <w:b/>
        </w:rPr>
        <w:t xml:space="preserve">[S46] </w:t>
      </w:r>
      <w:r>
        <w:t>Alexandra von Lieven, «Seth ist im Recht, Osiris ist im Unrecht!», ZÄS 133/2 (2006), 141–150, DOI 10.1524/zaes.2006.133.2.141.</w:t>
      </w:r>
      <w:r>
        <w:t xml:space="preserve"> Contro-tradizioni dei centri di culto di Seth.</w:t>
      </w:r>
      <w:r>
        <w:t xml:space="preserve"> </w:t>
      </w:r>
      <w:hyperlink r:id="rId64">
        <w:r>
          <w:rPr>
            <w:color w:val="2F5597"/>
            <w:u w:val="single"/>
          </w:rPr>
          <w:t>Apri la fonte</w:t>
        </w:r>
      </w:hyperlink>
    </w:p>
    <w:p>
      <w:pPr>
        <w:spacing w:line="276" w:lineRule="auto" w:after="80"/>
      </w:pPr>
      <w:r>
        <w:rPr>
          <w:b/>
        </w:rPr>
        <w:t xml:space="preserve">[S47] </w:t>
      </w:r>
      <w:r>
        <w:t>Daniela Comelli et al., «The Meteoritic Origin of Tutankhamun’s Iron Dagger Blade», MAPS 51/7 (2016), 1301–1309, DOI 10.1111/maps.12664.</w:t>
      </w:r>
      <w:r>
        <w:t xml:space="preserve"> Composizione e origine meteoritica.</w:t>
      </w:r>
      <w:r>
        <w:t xml:space="preserve"> </w:t>
      </w:r>
      <w:hyperlink r:id="rId65">
        <w:r>
          <w:rPr>
            <w:color w:val="2F5597"/>
            <w:u w:val="single"/>
          </w:rPr>
          <w:t>Apri la fonte</w:t>
        </w:r>
      </w:hyperlink>
    </w:p>
    <w:p>
      <w:pPr>
        <w:spacing w:line="276" w:lineRule="auto" w:after="80"/>
      </w:pPr>
      <w:r>
        <w:rPr>
          <w:b/>
        </w:rPr>
        <w:t xml:space="preserve">[S48] </w:t>
      </w:r>
      <w:r>
        <w:t>Takafumi Matsui et al., «The Manufacture and Origin of the Tutankhamen Meteoritic Iron Dagger», MAPS 57/4 (2022), 747–758, DOI 10.1111/maps.13787.</w:t>
      </w:r>
      <w:r>
        <w:t xml:space="preserve"> Ipotesi su forgiatura e Mitanni.</w:t>
      </w:r>
      <w:r>
        <w:t xml:space="preserve"> </w:t>
      </w:r>
      <w:hyperlink r:id="rId66">
        <w:r>
          <w:rPr>
            <w:color w:val="2F5597"/>
            <w:u w:val="single"/>
          </w:rPr>
          <w:t>Apri la fonte</w:t>
        </w:r>
      </w:hyperlink>
    </w:p>
    <w:p>
      <w:pPr>
        <w:spacing w:line="276" w:lineRule="auto" w:after="80"/>
      </w:pPr>
      <w:r>
        <w:rPr>
          <w:b/>
        </w:rPr>
        <w:t xml:space="preserve">[S49] </w:t>
      </w:r>
      <w:r>
        <w:t>Albert Jambon, «A Comment to: ‘The Manufacture and Origin of the Tutankhamun Meteoritic Iron Dagger’», MAPS 58/1 (2023), 165–168, DOI 10.1111/maps.13942.</w:t>
      </w:r>
      <w:r>
        <w:t xml:space="preserve"> Critica metodologica alle conclusioni del 2022.</w:t>
      </w:r>
      <w:r>
        <w:t xml:space="preserve"> </w:t>
      </w:r>
      <w:hyperlink r:id="rId67">
        <w:r>
          <w:rPr>
            <w:color w:val="2F5597"/>
            <w:u w:val="single"/>
          </w:rPr>
          <w:t>Apri la fonte</w:t>
        </w:r>
      </w:hyperlink>
    </w:p>
    <w:p>
      <w:pPr>
        <w:pStyle w:val="Heading2"/>
        <w:keepNext/>
      </w:pPr>
      <w:r>
        <w:rPr>
          <w:rFonts w:ascii="Calibri" w:hAnsi="Calibri"/>
        </w:rPr>
        <w:t>Nota conclusiva sul valore della prova</w:t>
      </w:r>
    </w:p>
    <w:p>
      <w:pPr>
        <w:widowControl/>
        <w:spacing w:after="0" w:line="276" w:lineRule="auto"/>
      </w:pPr>
      <w:r>
        <w:t>Le fonti antiche sono testi rituali, immagini e oggetti, non cronache costruite per rispondere alle domande moderne. La verifica finale dimostra una via solare difesa da Seth, un procedimento successorio privo di condanna per omicidio, l’influenza esplicita di Osiride sul collegio e una successiva storia di cancellazione e demonizzazione selettiva. La «via protetta da Seth» è la sintesi filosofica di questi dati; il pugnale di Tutankhamon resta un controllo materiale indipendente, da non trasformare automaticamente in teologia.</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Calibri" w:hAnsi="Calibri"/>
        <w:color w:val="5A6470"/>
        <w:sz w:val="17"/>
      </w:rPr>
      <w:t xml:space="preserve">Pagina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360" w:val="left"/>
      </w:tabs>
      <w:spacing w:after="0"/>
      <w:jc w:val="left"/>
    </w:pPr>
    <w:r>
      <w:rPr>
        <w:rFonts w:ascii="Calibri" w:hAnsi="Calibri"/>
        <w:b/>
        <w:color w:val="5A6470"/>
        <w:sz w:val="17"/>
      </w:rPr>
      <w:t>Filosofia della liberazione cosmica</w:t>
    </w:r>
    <w:r>
      <w:tab/>
    </w:r>
    <w:r>
      <w:rPr>
        <w:rFonts w:ascii="Calibri" w:hAnsi="Calibri"/>
        <w:color w:val="5A6470"/>
        <w:sz w:val="17"/>
      </w:rPr>
      <w:t>Verifica storico-filologica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multilevel"/>
    <w:lvl w:ilvl="0">
      <w:start w:val="1"/>
      <w:numFmt w:val="bullet"/>
      <w:lvlText w:val="•"/>
      <w:lvlJc w:val="left"/>
      <w:pPr>
        <w:tabs>
          <w:tab w:val="num" w:pos="540"/>
        </w:tabs>
        <w:ind w:left="720" w:hanging="360"/>
      </w:pPr>
    </w:lvl>
    <w:lvl w:ilvl="1">
      <w:start w:val="1"/>
      <w:numFmt w:val="bullet"/>
      <w:lvlText w:val="–"/>
      <w:lvlJc w:val="left"/>
      <w:pPr>
        <w:tabs>
          <w:tab w:val="num" w:pos="900"/>
        </w:tabs>
        <w:ind w:left="1080" w:hanging="360"/>
      </w:pPr>
    </w:lvl>
  </w:abstractNum>
  <w:num w:numId="10">
    <w:abstractNumId w:val="9"/>
  </w:num>
  <w:abstractNum w:abstractNumId="10">
    <w:multiLevelType w:val="singleLevel"/>
    <w:lvl w:ilvl="0">
      <w:start w:val="1"/>
      <w:numFmt w:val="decimal"/>
      <w:lvlText w:val="%1."/>
      <w:lvlJc w:val="right"/>
      <w:pPr>
        <w:tabs>
          <w:tab w:val="num" w:pos="540"/>
        </w:tabs>
        <w:ind w:left="720" w:hanging="360"/>
      </w:pPr>
    </w:lvl>
  </w:abstractNum>
  <w:num w:numId="11">
    <w:abstractNumId w:val="10"/>
  </w:num>
  <w:abstractNum w:abstractNumId="11">
    <w:multiLevelType w:val="singleLevel"/>
    <w:lvl w:ilvl="0">
      <w:start w:val="1"/>
      <w:numFmt w:val="decimal"/>
      <w:lvlText w:val="%1."/>
      <w:lvlJc w:val="right"/>
      <w:pPr>
        <w:tabs>
          <w:tab w:val="num" w:pos="540"/>
        </w:tabs>
        <w:ind w:left="720" w:hanging="360"/>
      </w:pPr>
    </w:lvl>
  </w:abstractNum>
  <w:num w:numId="12">
    <w:abstractNumId w:val="11"/>
  </w:num>
  <w:abstractNum w:abstractNumId="12">
    <w:multiLevelType w:val="singleLevel"/>
    <w:lvl w:ilvl="0">
      <w:start w:val="1"/>
      <w:numFmt w:val="decimal"/>
      <w:lvlText w:val="%1."/>
      <w:lvlJc w:val="right"/>
      <w:pPr>
        <w:tabs>
          <w:tab w:val="num" w:pos="540"/>
        </w:tabs>
        <w:ind w:left="720" w:hanging="360"/>
      </w:pPr>
    </w:lvl>
  </w:abstract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300"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76" w:lineRule="auto"/>
      <w:contextualSpacing/>
    </w:pPr>
    <w:rPr>
      <w:rFonts w:ascii="Calibri" w:hAnsi="Calibri"/>
      <w:sz w:val="21"/>
    </w:rPr>
  </w:style>
  <w:style w:type="paragraph" w:styleId="ListBullet2">
    <w:name w:val="List Bullet 2"/>
    <w:basedOn w:val="Normal"/>
    <w:uiPriority w:val="99"/>
    <w:unhideWhenUsed/>
    <w:rsid w:val="00326F90"/>
    <w:pPr>
      <w:numPr>
        <w:numId w:val="2"/>
      </w:numPr>
      <w:spacing w:after="80" w:line="276" w:lineRule="auto"/>
      <w:contextualSpacing/>
    </w:pPr>
    <w:rPr>
      <w:rFonts w:ascii="Calibri" w:hAnsi="Calibri"/>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76"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abel">
    <w:name w:val="Small label"/>
    <w:pPr>
      <w:spacing w:after="80"/>
    </w:pPr>
    <w:rPr>
      <w:rFonts w:ascii="Calibri" w:hAnsi="Calibri"/>
      <w:b/>
      <w:color w:val="2E74B5"/>
      <w:sz w:val="18"/>
    </w:rPr>
  </w:style>
  <w:style w:type="paragraph" w:customStyle="1" w:styleId="Authorline">
    <w:name w:val="Author line"/>
    <w:basedOn w:val="Normal"/>
    <w:pPr>
      <w:spacing w:before="60" w:after="40"/>
    </w:pPr>
    <w:rPr>
      <w:rFonts w:ascii="Aptos" w:hAnsi="Aptos"/>
      <w:b/>
      <w:color w:val="1F4E79"/>
      <w:sz w:val="21"/>
    </w:rPr>
  </w:style>
  <w:style w:type="paragraph" w:customStyle="1" w:styleId="Frontheading">
    <w:name w:val="Front heading"/>
    <w:basedOn w:val="Normal"/>
    <w:pPr>
      <w:keepNext/>
      <w:spacing w:before="200" w:after="80"/>
    </w:pPr>
    <w:rPr>
      <w:rFonts w:ascii="Aptos Display" w:hAnsi="Aptos Display"/>
      <w:b/>
      <w:color w:val="2F7AB5"/>
      <w:sz w:val="28"/>
    </w:rPr>
  </w:style>
  <w:style w:type="paragraph" w:customStyle="1" w:styleId="Frontabstract">
    <w:name w:val="Front abstract"/>
    <w:basedOn w:val="Normal"/>
    <w:pPr>
      <w:spacing w:line="259" w:lineRule="auto" w:after="100"/>
    </w:pPr>
    <w:rPr>
      <w:rFonts w:ascii="Aptos" w:hAnsi="Aptos"/>
      <w:sz w:val="19"/>
    </w:rPr>
  </w:style>
  <w:style w:type="paragraph" w:customStyle="1" w:styleId="Frontkeywords">
    <w:name w:val="Front keywords"/>
    <w:basedOn w:val="Normal"/>
    <w:pPr>
      <w:spacing w:after="140"/>
    </w:pPr>
    <w:rPr>
      <w:rFonts w:ascii="Aptos" w:hAnsi="Aptos"/>
      <w:i/>
      <w:color w:val="5A646E"/>
      <w:sz w:val="18"/>
    </w:rPr>
  </w:style>
  <w:style w:type="paragraph" w:customStyle="1" w:styleId="StaticTOC1">
    <w:name w:val="Static TOC 1"/>
    <w:basedOn w:val="Normal"/>
    <w:pPr>
      <w:keepLines/>
      <w:tabs>
        <w:tab w:pos="8784" w:val="right" w:leader="dot"/>
      </w:tabs>
      <w:spacing w:before="50" w:after="30"/>
      <w:ind w:left="0" w:firstLine="0"/>
    </w:pPr>
    <w:rPr>
      <w:rFonts w:ascii="Aptos" w:hAnsi="Aptos"/>
      <w:b/>
      <w:color w:val="1F4E79"/>
      <w:sz w:val="18"/>
    </w:rPr>
  </w:style>
  <w:style w:type="paragraph" w:customStyle="1" w:styleId="StaticTOC2">
    <w:name w:val="Static TOC 2"/>
    <w:basedOn w:val="Normal"/>
    <w:pPr>
      <w:keepLines/>
      <w:tabs>
        <w:tab w:pos="8784" w:val="right" w:leader="dot"/>
      </w:tabs>
      <w:spacing w:before="0" w:after="30"/>
      <w:ind w:left="403" w:firstLine="0"/>
    </w:pPr>
    <w:rPr>
      <w:rFonts w:ascii="Aptos" w:hAnsi="Aptos"/>
      <w:b w:val="0"/>
      <w:color w:val="5A64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iamcostumes.com/cutters_guides/pdf/the-ancient-egyptian-pyramid-texts-james-p-allen.pdf" TargetMode="External"/><Relationship Id="rId12" Type="http://schemas.openxmlformats.org/officeDocument/2006/relationships/hyperlink" Target="https://www.ucl.ac.uk/museums-static/digitalegypt/literature/religious/bdbynumber.html" TargetMode="External"/><Relationship Id="rId13" Type="http://schemas.openxmlformats.org/officeDocument/2006/relationships/hyperlink" Target="https://www.ucl.ac.uk/museums-static/digitalegypt/literature/religious/bd17.html" TargetMode="External"/><Relationship Id="rId14" Type="http://schemas.openxmlformats.org/officeDocument/2006/relationships/hyperlink" Target="https://mjn.host.cs.st-andrews.ac.uk/egyptian/texts/corpus/pdf/DestructionMankind.pdf" TargetMode="External"/><Relationship Id="rId15" Type="http://schemas.openxmlformats.org/officeDocument/2006/relationships/hyperlink" Target="https://penelope.uchicago.edu/Thayer/E/Roman/Texts/Plutarch/Moralia/Isis_and_Osiris%2A/A.html" TargetMode="External"/><Relationship Id="rId16" Type="http://schemas.openxmlformats.org/officeDocument/2006/relationships/hyperlink" Target="https://www.rct.uk/collection/1145261/amduat-the-sixth-hour" TargetMode="External"/><Relationship Id="rId17" Type="http://schemas.openxmlformats.org/officeDocument/2006/relationships/hyperlink" Target="https://www.newadvent.org/fathers/04166.htm" TargetMode="External"/><Relationship Id="rId18" Type="http://schemas.openxmlformats.org/officeDocument/2006/relationships/hyperlink" Target="https://www.gnosis.org/naghamm/goseqypt.html" TargetMode="External"/><Relationship Id="rId19" Type="http://schemas.openxmlformats.org/officeDocument/2006/relationships/hyperlink" Target="https://www.gnosis.org/naghamm/apocjn-meyer.html" TargetMode="External"/><Relationship Id="rId20" Type="http://schemas.openxmlformats.org/officeDocument/2006/relationships/hyperlink" Target="https://collections.louvre.fr/ark:/53355/cl010028871" TargetMode="External"/><Relationship Id="rId21" Type="http://schemas.openxmlformats.org/officeDocument/2006/relationships/hyperlink" Target="https://www.metmuseum.org/essays/egypt-in-the-old-kingdom-ca-2649-2150-b-c" TargetMode="External"/><Relationship Id="rId22" Type="http://schemas.openxmlformats.org/officeDocument/2006/relationships/hyperlink" Target="https://fitzmuseum.cam.ac.uk/explore-our-collection/highlights/context/stories-and-histories/osiris" TargetMode="External"/><Relationship Id="rId23" Type="http://schemas.openxmlformats.org/officeDocument/2006/relationships/hyperlink" Target="https://www.ucl.ac.uk/museums-static/digitalegypt/literature/religious/bd125b.html" TargetMode="External"/><Relationship Id="rId24" Type="http://schemas.openxmlformats.org/officeDocument/2006/relationships/hyperlink" Target="https://archive.org/stream/TheAncientEgyptianCoffin1/he%20ancient%20Egyptian%20coffin%20texts2_djvu.txt" TargetMode="External"/><Relationship Id="rId25" Type="http://schemas.openxmlformats.org/officeDocument/2006/relationships/hyperlink" Target="https://tutankhamun.griffith.ox.ac.uk/object-records/256k" TargetMode="External"/><Relationship Id="rId26" Type="http://schemas.openxmlformats.org/officeDocument/2006/relationships/hyperlink" Target="https://tutankhamun.griffith.ox.ac.uk/object-records/256hh2" TargetMode="External"/><Relationship Id="rId27" Type="http://schemas.openxmlformats.org/officeDocument/2006/relationships/hyperlink" Target="https://isac.uchicago.edu/sites/default/files/uploads/shared/docs/oip81.pdf" TargetMode="External"/><Relationship Id="rId28" Type="http://schemas.openxmlformats.org/officeDocument/2006/relationships/hyperlink" Target="https://www.gnosis.org/naghamm/adam.html" TargetMode="External"/><Relationship Id="rId29" Type="http://schemas.openxmlformats.org/officeDocument/2006/relationships/hyperlink" Target="https://dokumen.pub/the-greenfield-papyrus-funerary-papyrus-of-a-priestess-at-karnak-temple-c-950-bce-9042948426-9789042948426.html" TargetMode="External"/><Relationship Id="rId30" Type="http://schemas.openxmlformats.org/officeDocument/2006/relationships/hyperlink" Target="https://tutankhamun.griffith.ox.ac.uk/object-cards/taa-i1256k1" TargetMode="External"/><Relationship Id="rId31" Type="http://schemas.openxmlformats.org/officeDocument/2006/relationships/hyperlink" Target="https://www.nasscal.com/e-clavis-christian-apocrypha/books-of-jeu/" TargetMode="External"/><Relationship Id="rId32" Type="http://schemas.openxmlformats.org/officeDocument/2006/relationships/hyperlink" Target="https://escholarship.org/content/qt2vh551hn/qt2vh551hn.pdf" TargetMode="External"/><Relationship Id="rId33" Type="http://schemas.openxmlformats.org/officeDocument/2006/relationships/hyperlink" Target="https://brill.com/view/journals/nu/68/2-3/article-p157_3.xml" TargetMode="External"/><Relationship Id="rId34" Type="http://schemas.openxmlformats.org/officeDocument/2006/relationships/hyperlink" Target="https://www.monash.edu/__data/assets/pdf_file/0004/2231572/Ockinga-22-Hope-pp-273-284.pdf" TargetMode="External"/><Relationship Id="rId35" Type="http://schemas.openxmlformats.org/officeDocument/2006/relationships/hyperlink" Target="https://uni-koeln.de/phil-fak/ifa/zpe/downloads/1994/100pdf/100086.pdf" TargetMode="External"/><Relationship Id="rId36" Type="http://schemas.openxmlformats.org/officeDocument/2006/relationships/hyperlink" Target="https://onlinelibrary.wiley.com/doi/10.1111/maps.12664" TargetMode="External"/><Relationship Id="rId37" Type="http://schemas.openxmlformats.org/officeDocument/2006/relationships/hyperlink" Target="https://discovery.ucl.ac.uk/1430496/" TargetMode="External"/><Relationship Id="rId38" Type="http://schemas.openxmlformats.org/officeDocument/2006/relationships/hyperlink" Target="https://onlinelibrary.wiley.com/doi/10.1111/maps.12120" TargetMode="External"/><Relationship Id="rId39" Type="http://schemas.openxmlformats.org/officeDocument/2006/relationships/hyperlink" Target="https://science.nasa.gov/solar-system/meteors-meteorites/facts/" TargetMode="External"/><Relationship Id="rId40" Type="http://schemas.openxmlformats.org/officeDocument/2006/relationships/hyperlink" Target="https://giza.fas.harvard.edu/pubdocs/502/full/" TargetMode="External"/><Relationship Id="rId41" Type="http://schemas.openxmlformats.org/officeDocument/2006/relationships/hyperlink" Target="https://doi.org/10.1177/0307513319899948" TargetMode="External"/><Relationship Id="rId42" Type="http://schemas.openxmlformats.org/officeDocument/2006/relationships/hyperlink" Target="https://www.jstor.org/stable/j.ctv2xn164f" TargetMode="External"/><Relationship Id="rId43" Type="http://schemas.openxmlformats.org/officeDocument/2006/relationships/hyperlink" Target="https://brill.com/display/title/26910" TargetMode="External"/><Relationship Id="rId44" Type="http://schemas.openxmlformats.org/officeDocument/2006/relationships/hyperlink" Target="https://www.academia.edu/41752116/Gatekeepers_of_This_and_the_Other_World" TargetMode="External"/><Relationship Id="rId45" Type="http://schemas.openxmlformats.org/officeDocument/2006/relationships/hyperlink" Target="https://www.jstor.org/stable/10.13173/zeitdeutmorggese.168.2.0275" TargetMode="External"/><Relationship Id="rId46" Type="http://schemas.openxmlformats.org/officeDocument/2006/relationships/hyperlink" Target="https://escholarship.org/content/qt5s54w4tc/qt5s54w4tc_noSplash_e96f7f392f36a060575de8c0f2d7ac90.pdf" TargetMode="External"/><Relationship Id="rId47" Type="http://schemas.openxmlformats.org/officeDocument/2006/relationships/hyperlink" Target="https://www.academia.edu/121613832/The_Hereafter_Ancient_Egyptian_beliefs_with_special_reference_to_the_Amduat" TargetMode="External"/><Relationship Id="rId48" Type="http://schemas.openxmlformats.org/officeDocument/2006/relationships/hyperlink" Target="https://www.academia.edu/62903370/Which_Seth_Untangling_some_close_homonyms_from_ancient_Egypt_and_the_Near_East" TargetMode="External"/><Relationship Id="rId49" Type="http://schemas.openxmlformats.org/officeDocument/2006/relationships/hyperlink" Target="https://journals.sagepub.com/doi/10.1177/03075133221141908" TargetMode="External"/><Relationship Id="rId50" Type="http://schemas.openxmlformats.org/officeDocument/2006/relationships/hyperlink" Target="https://www.glencairnmuseum.org/newsletter/2018/7/25/headrests-in-glencairns-egyptian-collection-practicality-and-protection" TargetMode="External"/><Relationship Id="rId51" Type="http://schemas.openxmlformats.org/officeDocument/2006/relationships/hyperlink" Target="https://isac.uchicago.edu/sites/default/files/uploads/shared/docs/Research_Archives/Offprint%20-%20Scalf%20-%20Book%20of%20the%20Dead%20-%20OINN%20235.pdf" TargetMode="External"/><Relationship Id="rId52" Type="http://schemas.openxmlformats.org/officeDocument/2006/relationships/hyperlink" Target="https://era.ed.ac.uk/bitstream/handle/1842/9438/Evans2012.pdf" TargetMode="External"/><Relationship Id="rId53" Type="http://schemas.openxmlformats.org/officeDocument/2006/relationships/hyperlink" Target="https://www.academia.edu/144576848/_On_the_Immortality_of_the_God_Seth_in_Illuminating_Osiris_Egyptological_Studies_in_Honor_of_Mark_Smith_ed_by_R_Jasnow_and_G_Widmer_pp_93_98_Material_and_Visual_Culture_of_Ancient_Egypt_2_Atlanta_Lockwood_Press_2017" TargetMode="External"/><Relationship Id="rId54" Type="http://schemas.openxmlformats.org/officeDocument/2006/relationships/hyperlink" Target="https://escholarship.org/content/qt1r32g9zn/qt1r32g9zn_noSplash_439b03f7ca02e9ff44ecb355bf4f037d.pdf" TargetMode="External"/><Relationship Id="rId55" Type="http://schemas.openxmlformats.org/officeDocument/2006/relationships/hyperlink" Target="https://resources.metmuseum.org/resources/metpublications/pdf/The_Art_of_Ancient_Egypt_A_Resource_for_Educators.pdf" TargetMode="External"/><Relationship Id="rId56" Type="http://schemas.openxmlformats.org/officeDocument/2006/relationships/hyperlink" Target="https://www.britishmuseum.org/collection/object/Y_EA10554-87" TargetMode="External"/><Relationship Id="rId57" Type="http://schemas.openxmlformats.org/officeDocument/2006/relationships/hyperlink" Target="https://viewer.cbl.ie/viewer/image/Pap_1_2/8/LOG_0000/" TargetMode="External"/><Relationship Id="rId58" Type="http://schemas.openxmlformats.org/officeDocument/2006/relationships/hyperlink" Target="https://www.britishmuseum.org/collection/object/Y_EA10252-12" TargetMode="External"/><Relationship Id="rId59" Type="http://schemas.openxmlformats.org/officeDocument/2006/relationships/hyperlink" Target="https://doi.org/10.1163/15685276-12341619" TargetMode="External"/><Relationship Id="rId60" Type="http://schemas.openxmlformats.org/officeDocument/2006/relationships/hyperlink" Target="https://doi.org/10.1177/03075133221141908" TargetMode="External"/><Relationship Id="rId61" Type="http://schemas.openxmlformats.org/officeDocument/2006/relationships/hyperlink" Target="https://isac.uchicago.edu/research/publications/saoc/saoc-54-mechanics-ancient-egyptian-magical-practice-fourth-printing-2008" TargetMode="External"/><Relationship Id="rId62" Type="http://schemas.openxmlformats.org/officeDocument/2006/relationships/hyperlink" Target="https://archive.org/details/ancientegyptianl0002lich" TargetMode="External"/><Relationship Id="rId63" Type="http://schemas.openxmlformats.org/officeDocument/2006/relationships/hyperlink" Target="https://doi.org/10.1177/030751330208800110" TargetMode="External"/><Relationship Id="rId64" Type="http://schemas.openxmlformats.org/officeDocument/2006/relationships/hyperlink" Target="https://doi.org/10.1524/zaes.2006.133.2.141" TargetMode="External"/><Relationship Id="rId65" Type="http://schemas.openxmlformats.org/officeDocument/2006/relationships/hyperlink" Target="https://doi.org/10.1111/maps.12664" TargetMode="External"/><Relationship Id="rId66" Type="http://schemas.openxmlformats.org/officeDocument/2006/relationships/hyperlink" Target="https://doi.org/10.1111/maps.13787" TargetMode="External"/><Relationship Id="rId67" Type="http://schemas.openxmlformats.org/officeDocument/2006/relationships/hyperlink" Target="https://doi.org/10.1111/maps.13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 storico-filologica della Filosofia della liberazione cosmica</dc:title>
  <dc:subject>Versione accademica consolidata con verdetto su Seth, ricezione plutarchea e revisione genealogica</dc:subject>
  <dc:creator>Riccardo Rolando</dc:creator>
  <cp:keywords>Seth; Osiride; Ra; Plutarco; ricezione; giudizio; proscrizione; gnosi</cp:keywords>
  <dc:description>Autore: Riccardo Rolando. Contatto: r.rolando@outlook.com.</dc:description>
  <cp:lastModifiedBy>Riccardo Rolando</cp:lastModifiedBy>
  <cp:revision>1</cp:revision>
  <dcterms:created xsi:type="dcterms:W3CDTF">2013-12-23T23:15:00Z</dcterms:created>
  <dcterms:modified xsi:type="dcterms:W3CDTF">2026-08-21T22:00:00Z</dcterms:modified>
  <cp:category/>
</cp:coreProperties>
</file>