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2100"/>
        <w:jc w:val="center"/>
        <w:tblLayout w:type="fixed"/>
        <w:tblLook w:firstColumn="1" w:firstRow="1" w:lastColumn="0" w:lastRow="0" w:noHBand="0" w:noVBand="1" w:val="04A0"/>
        <w:tblInd w:w="120" w:type="dxa"/>
      </w:tblPr>
      <w:tblGrid>
        <w:gridCol w:w="2100"/>
      </w:tblGrid>
      <w:tr>
        <w:tc>
          <w:tcPr>
            <w:tcW w:type="dxa" w:w="2100"/>
            <w:shd w:fill="2E74B5"/>
          </w:tcPr>
          <w:p>
            <w:r/>
          </w:p>
        </w:tc>
      </w:tr>
    </w:tbl>
    <w:p>
      <w:pPr>
        <w:pStyle w:val="Smalllabel"/>
        <w:spacing w:before="440" w:after="200"/>
      </w:pPr>
      <w:r>
        <w:rPr>
          <w:color w:val="2E74B5"/>
        </w:rPr>
        <w:t>APPENDICE I · PROVA DI COERENZA E DOCUMENTAZIONE</w:t>
      </w:r>
    </w:p>
    <w:p>
      <w:pPr>
        <w:widowControl/>
        <w:spacing w:after="140"/>
      </w:pPr>
      <w:r>
        <w:rPr>
          <w:b/>
          <w:color w:val="1F4D78"/>
          <w:sz w:val="52"/>
        </w:rPr>
        <w:t>Verifica storico-filologica della</w:t>
        <w:br/>
        <w:t>Filosofia della liberazione cosmica</w:t>
      </w:r>
    </w:p>
    <w:p>
      <w:pPr>
        <w:widowControl/>
        <w:spacing w:after="360"/>
      </w:pPr>
      <w:r>
        <w:rPr>
          <w:color w:val="5F6B73"/>
          <w:sz w:val="26"/>
        </w:rPr>
        <w:t>Stato finale consolidato delle fonti, delle inferenze e dei limiti</w:t>
      </w:r>
    </w:p>
    <w:p>
      <w:pPr>
        <w:pStyle w:val="Authorline"/>
      </w:pPr>
      <w:r>
        <w:rPr>
          <w:rFonts w:ascii="Aptos" w:hAnsi="Aptos"/>
          <w:b/>
          <w:i w:val="0"/>
          <w:color w:val="1F4E79"/>
          <w:sz w:val="21"/>
        </w:rPr>
        <w:t>Riccardo Rolando  ·  r.rolando@outlook.com</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Principio guida</w:t>
            </w:r>
          </w:p>
          <w:p>
            <w:pPr>
              <w:spacing w:after="0" w:line="269" w:lineRule="auto"/>
            </w:pPr>
            <w:r>
              <w:rPr>
                <w:color w:val="222222"/>
                <w:sz w:val="20"/>
              </w:rPr>
              <w:t>Il documento presenta direttamente il risultato conclusivo della verifica. Ogni affermazione è classificata secondo il suo sostegno testuale; non viene ricostruita la successione delle ipotesi, delle ricerche e delle correzioni che ha condotto all’esito.</w:t>
            </w:r>
          </w:p>
        </w:tc>
      </w:tr>
    </w:tbl>
    <w:p>
      <w:pPr>
        <w:widowControl/>
        <w:spacing w:after="0"/>
      </w:pPr>
    </w:p>
    <w:p>
      <w:pPr>
        <w:widowControl/>
        <w:spacing w:before="320" w:after="40"/>
      </w:pPr>
      <w:r>
        <w:t>Edizione consolidata · 21 agosto 2026</w:t>
      </w:r>
    </w:p>
    <w:p>
      <w:pPr>
        <w:widowControl/>
        <w:spacing w:after="0"/>
      </w:pPr>
      <w:r>
        <w:rPr>
          <w:color w:val="5F6B73"/>
        </w:rPr>
        <w:t>Documento autonomo rispetto al testo filosofico divulgativo</w:t>
      </w:r>
    </w:p>
    <w:p>
      <w:pPr>
        <w:widowControl/>
      </w:pPr>
      <w:r>
        <w:br w:type="page"/>
      </w:r>
    </w:p>
    <w:p>
      <w:pPr>
        <w:pStyle w:val="Frontheading"/>
      </w:pPr>
      <w:r>
        <w:t>Abstract</w:t>
      </w:r>
    </w:p>
    <w:p>
      <w:pPr>
        <w:pStyle w:val="Frontabstract"/>
      </w:pPr>
      <w:r>
        <w:t>Lo studio verifica con metodo storico-filologico la Filosofia della liberazione cosmica, distinguendo dato testuale, cronologia, interpretazione prevalente, inferenza funzionale e ipotesi metafisica. L’aggiornamento ricostruisce inoltre la trasformazione storica di Seth: nel racconto ramesside egli perde la successione ed è legato, ma non viene annientato e riceve da Ra una funzione celeste; la sua espulsione rituale appartiene a testi molto più tardi. Il confronto con Plutarco mostra infine che il Seth-Tifone assunto da molte letture moderne è già il prodotto di una mediazione greco-romana e medio-platonica. Ne deriva la necessità di riesaminare le filosofie che trattano tale immagine tarda come una trascrizione trasparente della teologia faraonica.</w:t>
      </w:r>
    </w:p>
    <w:p>
      <w:pPr>
        <w:pStyle w:val="Frontkeywords"/>
      </w:pPr>
      <w:r>
        <w:t>Parole chiave: Testi delle Piramidi; Libro dei Morti; Osiride; Ra; Seth; Apopi; Papiro Chester Beatty I; Plutarco; ricezione; proscrizione; gnosi; libertà della coscienza.</w:t>
      </w:r>
    </w:p>
    <w:p>
      <w:pPr>
        <w:pStyle w:val="Frontheading"/>
      </w:pPr>
      <w:r>
        <w:t>Abstract (English)</w:t>
      </w:r>
    </w:p>
    <w:p>
      <w:pPr>
        <w:pStyle w:val="Frontabstract"/>
      </w:pPr>
      <w:r>
        <w:t>This study tests the Philosophy of Cosmic Liberation through a historical-philological method that separates textual evidence, chronology, prevailing interpretation, functional inference, and metaphysical hypothesis. The update also reconstructs the historical transformation of Seth: in the Ramesside narrative he loses the succession and is bound, yet is not annihilated and is assigned a celestial role by Re; ritual expulsion belongs to much later texts. Comparison with Plutarch further shows that the Seth-Typhon adopted by many modern readings is already shaped by Graeco-Roman and Middle-Platonist mediation. Philosophies that treat this late image as a transparent record of Pharaonic theology therefore require genealogical reassessment.</w:t>
      </w:r>
    </w:p>
    <w:p>
      <w:pPr>
        <w:pStyle w:val="Frontkeywords"/>
      </w:pPr>
      <w:r>
        <w:t>Keywords: Pyramid Texts; Book of the Dead; Osiris; Re; Seth; Apep; Chester Beatty Papyrus I; Plutarch; reception; proscription; gnosis; freedom of consciousness.</w:t>
      </w:r>
    </w:p>
    <w:p>
      <w:pPr>
        <w:pStyle w:val="Frontheading"/>
        <w:pageBreakBefore/>
      </w:pPr>
      <w:r>
        <w:t>Indice</w:t>
      </w:r>
    </w:p>
    <w:p>
      <w:pPr>
        <w:pStyle w:val="StaticTOC1"/>
      </w:pPr>
      <w:r>
        <w:t>1. Scopo, metodo e scala della prova</w:t>
        <w:tab/>
        <w:t>4</w:t>
      </w:r>
    </w:p>
    <w:p>
      <w:pPr>
        <w:pStyle w:val="StaticTOC1"/>
      </w:pPr>
      <w:r>
        <w:t>2. Quadro conclusivo</w:t>
        <w:tab/>
        <w:t>4</w:t>
      </w:r>
    </w:p>
    <w:p>
      <w:pPr>
        <w:pStyle w:val="StaticTOC1"/>
      </w:pPr>
      <w:r>
        <w:t>3. Cronologia minima del quadro documentario</w:t>
        <w:tab/>
        <w:t>5</w:t>
      </w:r>
    </w:p>
    <w:p>
      <w:pPr>
        <w:pStyle w:val="StaticTOC1"/>
      </w:pPr>
      <w:r>
        <w:t>4. Matrice celeste e non-sottomissione a Osiride</w:t>
        <w:tab/>
        <w:t>6</w:t>
      </w:r>
    </w:p>
    <w:p>
      <w:pPr>
        <w:pStyle w:val="StaticTOC1"/>
      </w:pPr>
      <w:r>
        <w:t>5. Osirianizzazione e amministrazione del post mortem</w:t>
        <w:tab/>
        <w:t>6</w:t>
      </w:r>
    </w:p>
    <w:p>
      <w:pPr>
        <w:pStyle w:val="StaticTOC1"/>
      </w:pPr>
      <w:r>
        <w:t>6. Custodia, restrizione e libertà del defunto</w:t>
        <w:tab/>
        <w:t>7</w:t>
      </w:r>
    </w:p>
    <w:p>
      <w:pPr>
        <w:pStyle w:val="StaticTOC1"/>
      </w:pPr>
      <w:r>
        <w:t>7. Conoscenza come libertà</w:t>
        <w:tab/>
        <w:t>7</w:t>
      </w:r>
    </w:p>
    <w:p>
      <w:pPr>
        <w:pStyle w:val="StaticTOC1"/>
      </w:pPr>
      <w:r>
        <w:t>8. Ra: attraversamento e rigenerazione solare</w:t>
        <w:tab/>
        <w:t>8</w:t>
      </w:r>
    </w:p>
    <w:p>
      <w:pPr>
        <w:pStyle w:val="StaticTOC1"/>
      </w:pPr>
      <w:r>
        <w:t>9. Seth: opposizione, protezione e non-morte definitiva</w:t>
        <w:tab/>
        <w:t>8</w:t>
      </w:r>
    </w:p>
    <w:p>
      <w:pPr>
        <w:pStyle w:val="StaticTOC1"/>
      </w:pPr>
      <w:r>
        <w:t>10. Seth, conoscenza e trasmissioni successive</w:t>
        <w:tab/>
        <w:t>9</w:t>
      </w:r>
    </w:p>
    <w:p>
      <w:pPr>
        <w:pStyle w:val="StaticTOC1"/>
      </w:pPr>
      <w:r>
        <w:t>11. Dalle porte egizie alle potenze gnostiche</w:t>
        <w:tab/>
        <w:t>10</w:t>
      </w:r>
    </w:p>
    <w:p>
      <w:pPr>
        <w:pStyle w:val="StaticTOC1"/>
      </w:pPr>
      <w:r>
        <w:t>12. Confini definitivi della ricostruzione</w:t>
        <w:tab/>
        <w:t>10</w:t>
      </w:r>
    </w:p>
    <w:p>
      <w:pPr>
        <w:pStyle w:val="StaticTOC1"/>
      </w:pPr>
      <w:r>
        <w:t>13. Catena probatoria e formulazione finale</w:t>
        <w:tab/>
        <w:t>11</w:t>
      </w:r>
    </w:p>
    <w:p>
      <w:pPr>
        <w:pStyle w:val="StaticTOC1"/>
      </w:pPr>
      <w:r>
        <w:t>14. Aggiornamento della ricerca e contributo originale</w:t>
        <w:tab/>
        <w:t>12</w:t>
      </w:r>
    </w:p>
    <w:p>
      <w:pPr>
        <w:pStyle w:val="StaticTOC2"/>
      </w:pPr>
      <w:r>
        <w:t>14.1 Intuizioni ora consolidate</w:t>
        <w:tab/>
        <w:t>12</w:t>
      </w:r>
    </w:p>
    <w:p>
      <w:pPr>
        <w:pStyle w:val="StaticTOC2"/>
      </w:pPr>
      <w:r>
        <w:t>14.2 Che cosa era già noto</w:t>
        <w:tab/>
        <w:t>13</w:t>
      </w:r>
    </w:p>
    <w:p>
      <w:pPr>
        <w:pStyle w:val="StaticTOC2"/>
      </w:pPr>
      <w:r>
        <w:t>14.3 Contributo specifico del presente lavoro</w:t>
        <w:tab/>
        <w:t>13</w:t>
      </w:r>
    </w:p>
    <w:p>
      <w:pPr>
        <w:pStyle w:val="StaticTOC2"/>
      </w:pPr>
      <w:r>
        <w:t>14.4 Matrice di novità</w:t>
        <w:tab/>
        <w:t>14</w:t>
      </w:r>
    </w:p>
    <w:p>
      <w:pPr>
        <w:pStyle w:val="StaticTOC2"/>
      </w:pPr>
      <w:r>
        <w:t>14.5 Fonti aggiunte per l’aggiornamento</w:t>
        <w:tab/>
        <w:t>14</w:t>
      </w:r>
    </w:p>
    <w:p>
      <w:pPr>
        <w:pStyle w:val="StaticTOC2"/>
      </w:pPr>
      <w:r>
        <w:t>14.6 Il verdetto su Seth: sconfitta dinastica, non annientamento</w:t>
        <w:tab/>
        <w:t>16</w:t>
      </w:r>
    </w:p>
    <w:p>
      <w:pPr>
        <w:pStyle w:val="StaticTOC2"/>
      </w:pPr>
      <w:r>
        <w:t>14.7 Dalla proscrizione tarda al Seth-Tifone di Plutarco</w:t>
        <w:tab/>
        <w:t>16</w:t>
      </w:r>
    </w:p>
    <w:p>
      <w:pPr>
        <w:pStyle w:val="StaticTOC2"/>
      </w:pPr>
      <w:r>
        <w:t>14.8 Revisione genealogica e convergenza cumulativa</w:t>
        <w:tab/>
        <w:t>17</w:t>
      </w:r>
    </w:p>
    <w:p>
      <w:pPr>
        <w:pStyle w:val="StaticTOC1"/>
      </w:pPr>
      <w:r>
        <w:t>15. Fonti primarie e studi</w:t>
        <w:tab/>
        <w:t>18</w:t>
      </w:r>
    </w:p>
    <w:p>
      <w:pPr>
        <w:pStyle w:val="StaticTOC2"/>
      </w:pPr>
      <w:r>
        <w:t>15.1 Fonti primarie e corpora</w:t>
        <w:tab/>
        <w:t>18</w:t>
      </w:r>
    </w:p>
    <w:p>
      <w:pPr>
        <w:pStyle w:val="StaticTOC2"/>
      </w:pPr>
      <w:r>
        <w:t>15.2 Studi</w:t>
        <w:tab/>
        <w:t>19</w:t>
      </w:r>
    </w:p>
    <w:p>
      <w:pPr>
        <w:pStyle w:val="StaticTOC2"/>
      </w:pPr>
      <w:r>
        <w:t>Nota conclusiva sul valore della prova</w:t>
        <w:tab/>
        <w:t>20</w:t>
      </w:r>
    </w:p>
    <w:p>
      <w:r>
        <w:br w:type="page"/>
      </w:r>
    </w:p>
    <w:p>
      <w:pPr>
        <w:pStyle w:val="Heading1"/>
        <w:keepNext/>
      </w:pPr>
      <w:r>
        <w:t>1. Scopo, metodo e scala della prova</w:t>
      </w:r>
    </w:p>
    <w:p>
      <w:pPr>
        <w:keepLines/>
        <w:widowControl/>
        <w:spacing w:after="140" w:line="276" w:lineRule="auto"/>
      </w:pPr>
      <w:r>
        <w:rPr>
          <w:b/>
          <w:color w:val="1F4D78"/>
        </w:rPr>
        <w:t xml:space="preserve">Scopo. </w:t>
      </w:r>
      <w:r>
        <w:t>Verificare quali premesse della Filosofia della liberazione cosmica siano direttamente attestate dalle fonti egizie e gnostiche, quali risultino da una convergenza forte e quali rimangano interpretazioni filosofiche moderne.</w:t>
      </w:r>
    </w:p>
    <w:p>
      <w:pPr>
        <w:keepLines/>
        <w:widowControl/>
        <w:spacing w:after="140" w:line="276" w:lineRule="auto"/>
      </w:pPr>
      <w:r>
        <w:rPr>
          <w:b/>
          <w:color w:val="1F4D78"/>
        </w:rPr>
        <w:t xml:space="preserve">Metodo. </w:t>
      </w:r>
      <w:r>
        <w:t>Per ogni punto si distinguono il dato testuale, la cronologia, il contesto rituale o dottrinale, l’interpretazione storica più economica e l’eventuale inferenza filosofica. Il consenso accademico è considerato un’interpretazione da controllare sulle fonti, non un criterio autonomo di verità.</w:t>
      </w:r>
    </w:p>
    <w:tbl>
      <w:tblPr>
        <w:tblW w:type="dxa" w:w="9360"/>
        <w:jc w:val="center"/>
        <w:tblLayout w:type="fixed"/>
        <w:tblLook w:firstColumn="1" w:firstRow="1" w:lastColumn="0" w:lastRow="0" w:noHBand="0" w:noVBand="1" w:val="04A0"/>
        <w:tblInd w:w="120" w:type="dxa"/>
      </w:tblPr>
      <w:tblGrid>
        <w:gridCol w:w="1750"/>
        <w:gridCol w:w="3900"/>
        <w:gridCol w:w="3710"/>
      </w:tblGrid>
      <w:tr>
        <w:trPr>
          <w:tblHeader w:val="true"/>
        </w:trPr>
        <w:tc>
          <w:tcPr>
            <w:tcW w:type="dxa" w:w="175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Grado</w:t>
            </w:r>
          </w:p>
        </w:tc>
        <w:tc>
          <w:tcPr>
            <w:tcW w:type="dxa" w:w="3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Significato</w:t>
            </w:r>
          </w:p>
        </w:tc>
        <w:tc>
          <w:tcPr>
            <w:tcW w:type="dxa" w:w="371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Uso corretto</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A · Diretto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fonte afferma o raffigura il punto.</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Dato storico documentato.</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B · Forte</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Più fonti convergono; resta un passaggio interpretativo controllabile.</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Conclusione prudente e sostenibile.</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C · Compatibile</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fonte consente la lettura, ma non la impone.</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Ipotesi filosofica dichiarata.</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D · Non attestato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Nessuna fonte compie il collegamento.</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Non attribuibile agli antichi.</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E · Contraddetto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sequenza testuale va nella direzione opposta.</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Formulazione da escludere o correggere.</w:t>
            </w:r>
          </w:p>
        </w:tc>
      </w:tr>
    </w:tbl>
    <w:p>
      <w:pPr>
        <w:pStyle w:val="Heading1"/>
        <w:keepNext/>
      </w:pPr>
      <w:r>
        <w:t>2. Quadro conclusivo</w:t>
      </w:r>
    </w:p>
    <w:tbl>
      <w:tblPr>
        <w:tblW w:type="dxa" w:w="9360"/>
        <w:jc w:val="center"/>
        <w:tblLayout w:type="fixed"/>
        <w:tblLook w:firstColumn="1" w:firstRow="1" w:lastColumn="0" w:lastRow="0" w:noHBand="0" w:noVBand="1" w:val="04A0"/>
        <w:tblInd w:w="120" w:type="dxa"/>
      </w:tblPr>
      <w:tblGrid>
        <w:gridCol w:w="1900"/>
        <w:gridCol w:w="2800"/>
        <w:gridCol w:w="760"/>
        <w:gridCol w:w="3900"/>
      </w:tblGrid>
      <w:tr>
        <w:trPr>
          <w:tblHeader w:val="true"/>
        </w:trPr>
        <w:tc>
          <w:tcPr>
            <w:tcW w:type="dxa" w:w="1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Questione</w:t>
            </w:r>
          </w:p>
        </w:tc>
        <w:tc>
          <w:tcPr>
            <w:tcW w:type="dxa" w:w="28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Dato decisivo</w:t>
            </w:r>
          </w:p>
        </w:tc>
        <w:tc>
          <w:tcPr>
            <w:tcW w:type="dxa" w:w="76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Esito</w:t>
            </w:r>
          </w:p>
        </w:tc>
        <w:tc>
          <w:tcPr>
            <w:tcW w:type="dxa" w:w="3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Stato finale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Matrice funeraria più antica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Ascesa a Ra e alle stelle; motivi osiriaci già compresenti.</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Plurale, fortemente celeste, solare e stellare; non soltanto osiriaca.</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Non-consegna a Osiride</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PT 213 e copie negano il controllo di Osiride sul re.</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Esiste una formula regale esplicita di non-sottomissione.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Osirianizzazione dell’aldilà</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Culto in crescita a fine V dinastia; identificazione del morto con Osiride.</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Sviluppo e sovrapposizione storica, non origine di ogni rito funerario.</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Morte e ritiro di Ra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Nella Vacca Celeste la violenza precede l’ascesa di Ra.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E/C</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Non è provata un’età senza morte; è sostenibile una frattura e riorganizzazione cosmica.</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Custodia osiriaca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CT 491: sorveglianza delle anime, trattenimento delle ombre, accesso a Ra.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È attestato un apparato osiriaco di custodia e restrizione; non un carcere universale.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Libertà mediante conoscenza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Nomi, formule e porte impediscono il trattenimento e aprono la via.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La conoscenza è uno strumento rituale efficace di liberazione e mobilità.</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Ra nel Duat</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Viaggio notturno, unione con Osiride, rigenerazione e alba.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Ra attraversa il dominio dei morti e riemerge portando nuovamente la luce.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Seth e Ra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Seth difende la barca solare e abbatte Apopi.</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Seth non è il male assoluto; può difendere Maat e la continuità solare.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Morte di Seth</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Vittime animali lo incorporano; testi attestano che non rimane morto.</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Le manifestazioni possono essere sacrificate, ma Seth non è reso definitivamente morto.</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Seth e conoscenza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Seth gnostico è rivelatore; Seth egizio è liminale e protettore di Ra.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B/C</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Sintesi filosofica forte; identità storica continua non dimostrata.</w:t>
            </w:r>
          </w:p>
        </w:tc>
      </w:tr>
      <w:tr>
        <w:trPr>
          <w:cantSplit/>
        </w:trPr>
        <w:tc>
          <w:tcPr>
            <w:tcW w:type="dxa" w:w="1900"/>
            <w:vAlign w:val="center"/>
            <w:tcMar>
              <w:top w:w="100" w:type="dxa"/>
              <w:start w:w="120" w:type="dxa"/>
              <w:bottom w:w="100" w:type="dxa"/>
              <w:end w:w="120" w:type="dxa"/>
            </w:tcMar>
          </w:tcPr>
          <w:p>
            <w:r>
              <w:t>Intenzionalità detentiva osiriaca</w:t>
            </w:r>
          </w:p>
        </w:tc>
        <w:tc>
          <w:tcPr>
            <w:tcW w:type="dxa" w:w="2800"/>
            <w:vAlign w:val="center"/>
            <w:tcMar>
              <w:top w:w="100" w:type="dxa"/>
              <w:start w:w="120" w:type="dxa"/>
              <w:bottom w:w="100" w:type="dxa"/>
              <w:end w:w="120" w:type="dxa"/>
            </w:tcMar>
          </w:tcPr>
          <w:p>
            <w:r>
              <w:t>I custodi di Osiride trattengono ba e ombre; PT 213 nega il potere osiriaco sul re.</w:t>
            </w:r>
          </w:p>
        </w:tc>
        <w:tc>
          <w:tcPr>
            <w:tcW w:type="dxa" w:w="760"/>
            <w:vAlign w:val="center"/>
            <w:tcMar>
              <w:top w:w="100" w:type="dxa"/>
              <w:start w:w="120" w:type="dxa"/>
              <w:bottom w:w="100" w:type="dxa"/>
              <w:end w:w="120" w:type="dxa"/>
            </w:tcMar>
          </w:tcPr>
          <w:p>
            <w:r>
              <w:t>A/B</w:t>
            </w:r>
          </w:p>
        </w:tc>
        <w:tc>
          <w:tcPr>
            <w:tcW w:type="dxa" w:w="3900"/>
            <w:vAlign w:val="center"/>
            <w:tcMar>
              <w:top w:w="100" w:type="dxa"/>
              <w:start w:w="120" w:type="dxa"/>
              <w:bottom w:w="100" w:type="dxa"/>
              <w:end w:w="120" w:type="dxa"/>
            </w:tcMar>
          </w:tcPr>
          <w:p>
            <w:r>
              <w:t>Funzione intenzionale dell’apparato documentata; progetto psicologico personale di Osiride non espresso.</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Horus-Arconti e reincarnazione</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Manca una fonte; la rinascita egizia non equivale a reincarnazione universale.</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D</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Elementi esclusi dal nucleo definitivo.</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Origine extracosmica di Seth</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Forma animale e capacità di non morire non provano una provenienza esterna.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C/D</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Ipotesi metafisica facoltativa, non necessaria alla dimostrazione.</w:t>
            </w:r>
          </w:p>
        </w:tc>
      </w:tr>
    </w:tbl>
    <w:p>
      <w:pPr>
        <w:pStyle w:val="Heading1"/>
        <w:keepNext/>
      </w:pPr>
      <w:r>
        <w:t>3. Cronologia minima del quadro documentario</w:t>
      </w:r>
    </w:p>
    <w:tbl>
      <w:tblPr>
        <w:tblW w:type="dxa" w:w="9360"/>
        <w:jc w:val="center"/>
        <w:tblLayout w:type="fixed"/>
        <w:tblLook w:firstColumn="1" w:firstRow="1" w:lastColumn="0" w:lastRow="0" w:noHBand="0" w:noVBand="1" w:val="04A0"/>
        <w:tblInd w:w="120" w:type="dxa"/>
      </w:tblPr>
      <w:tblGrid>
        <w:gridCol w:w="2800"/>
        <w:gridCol w:w="2250"/>
        <w:gridCol w:w="4310"/>
      </w:tblGrid>
      <w:tr>
        <w:trPr>
          <w:tblHeader w:val="true"/>
        </w:trPr>
        <w:tc>
          <w:tcPr>
            <w:tcW w:type="dxa" w:w="28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Fonte o corpus</w:t>
            </w:r>
          </w:p>
        </w:tc>
        <w:tc>
          <w:tcPr>
            <w:tcW w:type="dxa" w:w="225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Data indicativa</w:t>
            </w:r>
          </w:p>
        </w:tc>
        <w:tc>
          <w:tcPr>
            <w:tcW w:type="dxa" w:w="431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Rilevanza conclusiva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delle Piramidi di Unas e copie</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fine XXIV-XXIII sec. a.C.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Destino solare e stellare; non-consegna del re a Osiride.</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dei Sarcofagi</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ca. 2100-1650 a.C.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Non-restrizione, mobilità delle componenti personali e accesso a Ra.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Amduat</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Nuovo Regno, dalla XVIII dinastia</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Viaggio notturno, unione Ra-Osiride e rigenerazione solare.</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Libro della Vacca Celeste</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copie del Nuovo Regno</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Crisi, violenza, ritiro di Ra e riorganizzazione cosmica.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Libro dei Morti</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Nuovo Regno e fasi successive</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Uscita nel giorno, porte, formule, custodi, barca di Ra e giudizio.</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tardi su Seth</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età faraonica tarda e romana</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Proscrizione selettiva, sacrificio animale e non-morte definitiva.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Papiri magici greco-egizi</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II sec. a.C.-V sec. d.C.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Trasformazioni sincretiche del nome e della funzione di Seth.</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sethiani e Libri di Jeu</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II-IV sec. d.C.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Rivelazione, conoscenza salvifica e superamento di potenze e porte.</w:t>
            </w:r>
          </w:p>
        </w:tc>
      </w:tr>
    </w:tbl>
    <w:p>
      <w:pPr>
        <w:pStyle w:val="Heading1"/>
        <w:keepNext/>
        <w:pageBreakBefore/>
      </w:pPr>
      <w:r>
        <w:t>4. Matrice celeste e non-sottomissione a Osiride</w:t>
      </w:r>
    </w:p>
    <w:p>
      <w:pPr>
        <w:keepLines/>
        <w:widowControl/>
        <w:spacing w:after="140" w:line="276" w:lineRule="auto"/>
      </w:pPr>
      <w:r>
        <w:rPr>
          <w:b/>
          <w:color w:val="1F4D78"/>
        </w:rPr>
        <w:t xml:space="preserve">Dato testuale. </w:t>
      </w:r>
      <w:r>
        <w:t>I più antichi Testi delle Piramidi conservati combinano motivi celesti, solari, stellari e osiriaci. Il re sale al cielo, raggiunge Ra e si unisce alle stelle imperiture: la concezione funeraria regale documentata non nasce come sistema esclusivamente osiriaco. [P1; P11]</w:t>
      </w:r>
    </w:p>
    <w:p>
      <w:pPr>
        <w:keepLines/>
        <w:widowControl/>
        <w:spacing w:after="140" w:line="276" w:lineRule="auto"/>
      </w:pPr>
      <w:r>
        <w:rPr>
          <w:b/>
          <w:color w:val="1F4D78"/>
        </w:rPr>
        <w:t xml:space="preserve">Formula decisiva. </w:t>
      </w:r>
      <w:r>
        <w:t>Nel PT 213 Ra-Atum non consegna il re a Osiride e viene negato a Osiride il controllo sulla sua mente e sul suo cuore. Allen registra la formula anche nelle copie Teti 289, Pepi I 439, Merenra 324, Pepi II 516 e Neith 274: non si tratta quindi di un frammento isolato. [P1]</w:t>
      </w:r>
    </w:p>
    <w:p>
      <w:pPr>
        <w:keepLines/>
        <w:widowControl/>
        <w:spacing w:after="140" w:line="276" w:lineRule="auto"/>
      </w:pPr>
      <w:r>
        <w:rPr>
          <w:b/>
          <w:color w:val="1F4D78"/>
        </w:rPr>
        <w:t xml:space="preserve">Portata. </w:t>
      </w:r>
      <w:r>
        <w:t>La formula attesta direttamente una sovranità regale sottratta alla presa di Osiride. La sua generalizzazione originaria a ogni essere umano non è dimostrata; è però documentato il principio secondo cui un destino solare può essere rivendicato senza consegna alla giurisdizione osiriaca.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la non-sottomissione; B/C per la generalizzazione</w:t>
            </w:r>
          </w:p>
          <w:p>
            <w:pPr>
              <w:spacing w:after="0" w:line="269" w:lineRule="auto"/>
            </w:pPr>
            <w:r>
              <w:rPr>
                <w:color w:val="222222"/>
                <w:sz w:val="20"/>
              </w:rPr>
              <w:t>Il fondamento storico più forte della filosofia è reale: una tradizione funeraria regale orientata verso Ra e le stelle nega espressamente che il re venga consegnato al controllo di Osiride.</w:t>
            </w:r>
          </w:p>
        </w:tc>
      </w:tr>
    </w:tbl>
    <w:p>
      <w:pPr>
        <w:widowControl/>
        <w:spacing w:after="0"/>
      </w:pPr>
    </w:p>
    <w:p>
      <w:pPr>
        <w:pStyle w:val="Heading1"/>
        <w:keepNext/>
      </w:pPr>
      <w:r>
        <w:t>5. Osirianizzazione e amministrazione del post mortem</w:t>
      </w:r>
    </w:p>
    <w:p>
      <w:pPr>
        <w:keepLines/>
        <w:widowControl/>
        <w:spacing w:after="140" w:line="276" w:lineRule="auto"/>
      </w:pPr>
      <w:r>
        <w:rPr>
          <w:b/>
          <w:color w:val="1F4D78"/>
        </w:rPr>
        <w:t xml:space="preserve">Anteriorità dei riti. </w:t>
      </w:r>
      <w:r>
        <w:t>Religione, regalità sacra, offerte ai morti e orientamenti celesti precedono l’affermazione centrale di Osiride. Osiride non crea la religione egizia né il primo culto funerario. [P11]</w:t>
      </w:r>
    </w:p>
    <w:p>
      <w:pPr>
        <w:keepLines/>
        <w:widowControl/>
        <w:spacing w:after="140" w:line="276" w:lineRule="auto"/>
      </w:pPr>
      <w:r>
        <w:rPr>
          <w:b/>
          <w:color w:val="1F4D78"/>
        </w:rPr>
        <w:t xml:space="preserve">Sviluppo storico. </w:t>
      </w:r>
      <w:r>
        <w:t>Alla fine della V dinastia il culto di Osiride acquista slancio. Nei corpora conservati la matrice solare e stellare non scompare: viene progressivamente integrata in un paradigma nel quale il defunto è identificato con Osiride e partecipa alla sua restaurazione. [P11; P12]</w:t>
      </w:r>
    </w:p>
    <w:p>
      <w:pPr>
        <w:keepLines/>
        <w:widowControl/>
        <w:spacing w:after="140" w:line="276" w:lineRule="auto"/>
      </w:pPr>
      <w:r>
        <w:rPr>
          <w:b/>
          <w:color w:val="1F4D78"/>
        </w:rPr>
        <w:t xml:space="preserve">Sequenza mitica. </w:t>
      </w:r>
      <w:r>
        <w:t>Osiride è ucciso, ricomposto e reso nuovamente efficace, ma non riprende stabilmente il regno dei viventi. Diviene sovrano dei morti e modello della continuità postuma. La sua rinascita significa efficacia nell’aldilà, non reincarnazione universale in nuovi esseri umani. [P5; P12]</w:t>
      </w:r>
    </w:p>
    <w:p>
      <w:pPr>
        <w:keepLines/>
        <w:widowControl/>
        <w:spacing w:after="140" w:line="276" w:lineRule="auto"/>
      </w:pPr>
      <w:r>
        <w:rPr>
          <w:b/>
          <w:color w:val="1F4D78"/>
        </w:rPr>
        <w:t xml:space="preserve">Giudizio. </w:t>
      </w:r>
      <w:r>
        <w:t>La confessione negativa davanti a quarantadue valutatori, nella forma del capitolo 125B del Libro dei Morti, è attestata per iscritto dal Nuovo Regno. Il tribunale pienamente articolato è quindi uno sviluppo molto posteriore ai primi complessi funerari regali. [P13]</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B</w:t>
            </w:r>
          </w:p>
          <w:p>
            <w:pPr>
              <w:spacing w:after="0" w:line="269" w:lineRule="auto"/>
            </w:pPr>
            <w:r>
              <w:t>Osiride non fonda la religione egizia: assume progressivamente una posizione centrale nell’ordinamento della morte. L’osirianizzazione è uno sviluppo storico; i custodi svolgono una funzione detentiva intenzionale, mentre non è attestata una confessione personale di Osiride come autore di una prigione cosmica.</w:t>
            </w:r>
          </w:p>
        </w:tc>
      </w:tr>
    </w:tbl>
    <w:p>
      <w:pPr>
        <w:widowControl/>
        <w:spacing w:after="0"/>
      </w:pPr>
    </w:p>
    <w:p>
      <w:pPr>
        <w:pStyle w:val="Heading1"/>
        <w:keepNext/>
      </w:pPr>
      <w:r>
        <w:t>6. Custodia, restrizione e libertà del defunto</w:t>
      </w:r>
    </w:p>
    <w:p>
      <w:pPr>
        <w:keepLines/>
        <w:widowControl/>
        <w:spacing w:after="140" w:line="276" w:lineRule="auto"/>
      </w:pPr>
      <w:r>
        <w:rPr>
          <w:b/>
          <w:color w:val="1F4D78"/>
        </w:rPr>
        <w:t xml:space="preserve">CT 491. </w:t>
      </w:r>
      <w:r>
        <w:t>Nella redazione estesa il defunto si rivolge a esseri incaricati delle membra di Osiride, descritti mentre sorvegliano le anime e trattengono le ombre dei morti. Ordina che non abbiano potere sul proprio ba, akh, magia e ombra; subito dopo fa aprire le porte o finestre del cielo affinché queste componenti possano raggiungere Ra. [P14; P17; S14]</w:t>
      </w:r>
    </w:p>
    <w:p>
      <w:pPr>
        <w:keepLines/>
        <w:widowControl/>
        <w:spacing w:after="140" w:line="276" w:lineRule="auto"/>
      </w:pPr>
      <w:r>
        <w:rPr>
          <w:b/>
          <w:color w:val="1F4D78"/>
        </w:rPr>
        <w:t xml:space="preserve">Conferma lessicale. </w:t>
      </w:r>
      <w:r>
        <w:t>Faulkner rende hnr, secondo il contesto, con “constrain” o “restrain” e interpreta i sorveglianti come custodi di prigionieri. Le varianti manoscritte impediscono di attribuire ogni frase a ogni copia, ma non eliminano il nucleo restrizione-apertura-accesso a Ra. [P14; P17]</w:t>
      </w:r>
    </w:p>
    <w:p>
      <w:pPr>
        <w:keepLines/>
        <w:widowControl/>
        <w:spacing w:after="140" w:line="276" w:lineRule="auto"/>
      </w:pPr>
      <w:r>
        <w:rPr>
          <w:b/>
          <w:color w:val="1F4D78"/>
        </w:rPr>
        <w:t xml:space="preserve">Continuità. </w:t>
      </w:r>
      <w:r>
        <w:t>CT 492, 493, 499 e 500 ripetono il tema dell’apertura e della non-restrizione. Il Libro dei Morti 91 conserva la formula per non trattenere il ba nella necropoli; il capitolo 92 unisce apertura della tomba, uscita nel giorno e recupero del movimento. Il motivo attraversa Medio e Nuovo Regno e non resta limitato alla sola regalità. [P2; P19; S18]</w:t>
      </w:r>
    </w:p>
    <w:p>
      <w:pPr>
        <w:keepLines/>
        <w:widowControl/>
        <w:spacing w:after="140" w:line="276" w:lineRule="auto"/>
      </w:pPr>
      <w:r>
        <w:rPr>
          <w:b/>
          <w:color w:val="1F4D78"/>
        </w:rPr>
        <w:t xml:space="preserve">Porte osiriache. </w:t>
      </w:r>
      <w:r>
        <w:t>Nei capitoli 144-147 del Libro dei Morti compaiono guardiani e annunciatori agli ingressi di Osiride. L’accesso richiede nomi e formule. Non ogni guardiano è un carceriere: alcuni proteggono lo spazio sacro, altri interrogano o minacciano; tuttavia la possibilità concreta di impedire o consentire il passaggio è documentata. [P2; S13]</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apparato e non-restrizione; B per la responsabilità funzionale</w:t>
            </w:r>
          </w:p>
          <w:p>
            <w:pPr>
              <w:spacing w:after="0" w:line="269" w:lineRule="auto"/>
            </w:pPr>
            <w:r>
              <w:t>Il sistema funerario osiriaco comprende accessi sorvegliati e potenze incaricate di trattenere. La finalità detentiva dell’apparato è documentata; non lo è una confessione psicologica personale di Osiride. La conoscenza consente di sottrarsi alla restrizione e raggiungere Ra.</w:t>
            </w:r>
          </w:p>
        </w:tc>
      </w:tr>
    </w:tbl>
    <w:p>
      <w:pPr>
        <w:widowControl/>
        <w:spacing w:after="0"/>
      </w:pPr>
    </w:p>
    <w:p>
      <w:pPr>
        <w:pStyle w:val="Heading1"/>
        <w:keepNext/>
      </w:pPr>
      <w:r>
        <w:t>7. Conoscenza come libertà</w:t>
      </w:r>
    </w:p>
    <w:p>
      <w:pPr>
        <w:keepLines/>
        <w:widowControl/>
        <w:spacing w:after="140" w:line="276" w:lineRule="auto"/>
      </w:pPr>
      <w:r>
        <w:rPr>
          <w:b/>
          <w:color w:val="1F4D78"/>
        </w:rPr>
        <w:t xml:space="preserve">Nomi e formule. </w:t>
      </w:r>
      <w:r>
        <w:t>Nel capitolo 17 del Libro dei Morti il defunto evita la presa di guardiani e potenze perché ne conosce il nome. Nei capitoli di porte, navigazione e uscita, la parola corretta, il nome, la formula e l’identificazione rituale trasformano il passaggio da impossibile a praticabile. [P2; P3]</w:t>
      </w:r>
    </w:p>
    <w:p>
      <w:pPr>
        <w:keepLines/>
        <w:widowControl/>
        <w:spacing w:after="140" w:line="276" w:lineRule="auto"/>
      </w:pPr>
      <w:r>
        <w:rPr>
          <w:b/>
          <w:color w:val="1F4D78"/>
        </w:rPr>
        <w:t xml:space="preserve">Effetto verificabile. </w:t>
      </w:r>
      <w:r>
        <w:t>La conoscenza non è presentata soltanto come informazione: produce mobilità del ba, apertura della tomba e del cielo, libertà dei passi, accesso alla barca solare e immunità da chi potrebbe trattenere.</w:t>
      </w:r>
    </w:p>
    <w:p>
      <w:pPr>
        <w:keepLines/>
        <w:widowControl/>
        <w:spacing w:after="140" w:line="276" w:lineRule="auto"/>
      </w:pPr>
      <w:r>
        <w:rPr>
          <w:b/>
          <w:color w:val="1F4D78"/>
        </w:rPr>
        <w:t xml:space="preserve">Principio filosofico. </w:t>
      </w:r>
      <w:r>
        <w:t>La formula “libertà = conoscenza” è una sintesi moderna, ma deriva direttamente dalla funzione attribuita ai saperi rituali. Conoscere significa non essere più totalmente amministrabili dalle potenze della soglia.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A/B</w:t>
            </w:r>
          </w:p>
          <w:p>
            <w:pPr>
              <w:spacing w:after="0" w:line="269" w:lineRule="auto"/>
            </w:pPr>
            <w:r>
              <w:rPr>
                <w:color w:val="222222"/>
                <w:sz w:val="20"/>
              </w:rPr>
              <w:t>È documentato che la conoscenza efficace permette di attraversare porte, neutralizzare custodi, evitare il trattenimento e raggiungere Ra. La filosofia universalizza questo dato come principio di liberazione della coscienza.</w:t>
            </w:r>
          </w:p>
        </w:tc>
      </w:tr>
    </w:tbl>
    <w:p>
      <w:pPr>
        <w:widowControl/>
        <w:spacing w:after="0"/>
      </w:pPr>
    </w:p>
    <w:p>
      <w:pPr>
        <w:pStyle w:val="Heading1"/>
        <w:keepNext/>
      </w:pPr>
      <w:r>
        <w:t>8. Ra: attraversamento e rigenerazione solare</w:t>
      </w:r>
    </w:p>
    <w:p>
      <w:pPr>
        <w:keepLines/>
        <w:widowControl/>
        <w:spacing w:after="140" w:line="276" w:lineRule="auto"/>
      </w:pPr>
      <w:r>
        <w:rPr>
          <w:b/>
          <w:color w:val="1F4D78"/>
        </w:rPr>
        <w:t xml:space="preserve">Frattura e ritiro. </w:t>
      </w:r>
      <w:r>
        <w:t>Nel Libro della Vacca Celeste la ribellione umana, la punizione mediante l’Occhio solare e la violenza precedono il completo ritiro di Ra. L’ascesa del dio accompagna poi una riorganizzazione del cosmo. La fonte non prova quindi un’età priva di morte fino alla partenza di Ra, ma sostiene una lettura strutturale di crisi, separazione dalla fonte e ordine imperfetto. [P4; S1]</w:t>
      </w:r>
    </w:p>
    <w:p>
      <w:pPr>
        <w:keepLines/>
        <w:widowControl/>
        <w:spacing w:after="140" w:line="276" w:lineRule="auto"/>
      </w:pPr>
      <w:r>
        <w:rPr>
          <w:b/>
          <w:color w:val="1F4D78"/>
        </w:rPr>
        <w:t xml:space="preserve">Viaggio notturno. </w:t>
      </w:r>
      <w:r>
        <w:t>Nell’Amduat Ra attraversa il Duat durante dodici ore, incontra resistenze e pericoli, vivifica i morti, raggiunge la fase critica della sesta ora e riemerge rigenerato all’alba. [P6; S16]</w:t>
      </w:r>
    </w:p>
    <w:p>
      <w:pPr>
        <w:keepLines/>
        <w:widowControl/>
        <w:spacing w:after="140" w:line="276" w:lineRule="auto"/>
      </w:pPr>
      <w:r>
        <w:rPr>
          <w:b/>
          <w:color w:val="1F4D78"/>
        </w:rPr>
        <w:t xml:space="preserve">Unione con Osiride. </w:t>
      </w:r>
      <w:r>
        <w:t>La sesta ora descrive l’incontro rigenerativo tra il principio solare e Osiride; il capitolo 17 del Libro dei Morti presenta “ieri” come Osiride e “domani” come Ra e riferisce l’abbraccio delle loro anime. La fonte esprime complementarità e rinnovamento, non una guerra cosmologica permanente. [P3; P6]</w:t>
      </w:r>
    </w:p>
    <w:p>
      <w:pPr>
        <w:keepLines/>
        <w:widowControl/>
        <w:spacing w:after="140" w:line="276" w:lineRule="auto"/>
      </w:pPr>
      <w:r>
        <w:t>Accesso del defunto. Le formule funerarie consentono al defunto di raggiungere la barca di Ra, accompagnarne il seguito e partecipare alla rinascita ciclica. La barca non è presentata come un mezzo con cui Ra raccoglie le anime e le porta fuori dal cosmo: il defunto ottiene accesso al circuito solare e rinasce con il dio all’alba. [P2; P14]</w:t>
      </w:r>
    </w:p>
    <w:p>
      <w:pPr>
        <w:keepLines/>
        <w:widowControl/>
        <w:spacing w:after="140" w:line="276" w:lineRule="auto"/>
      </w:pPr>
      <w:r>
        <w:t>Limite. Le fonti non dicono che Ra raccolga le anime per trasportarle alla Pienezza o fuori dal cosmo. La barca compie il circuito della rigenerazione; l’ascesa al cielo, a Ra o alle Stelle Imperiture è attestata anche mediante immagini autonome. Identificare tale ascesa con una trascendenza extracosmica resta una formulazione filosofica, non un enunciato egizio letterale.</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E/C per un mondo originariamente senza morte; A per viaggio, rigenerazione e accesso</w:t>
            </w:r>
          </w:p>
          <w:p>
            <w:pPr>
              <w:spacing w:after="0" w:line="269" w:lineRule="auto"/>
            </w:pPr>
            <w:r>
              <w:rPr>
                <w:color w:val="222222"/>
                <w:sz w:val="20"/>
              </w:rPr>
              <w:t>Ra attraversa il dominio dei morti e torna alla luce; il defunto che conosce la via può unirsi al suo seguito. La filosofia può leggere il ritiro come frattura, ma non attribuire a Osiride la prima comparsa della morte.</w:t>
            </w:r>
          </w:p>
        </w:tc>
      </w:tr>
    </w:tbl>
    <w:p>
      <w:pPr>
        <w:widowControl/>
        <w:spacing w:after="0"/>
      </w:pPr>
    </w:p>
    <w:p>
      <w:pPr>
        <w:pStyle w:val="Heading1"/>
        <w:keepNext/>
      </w:pPr>
      <w:r>
        <w:t>9. Seth: opposizione, protezione e non-morte definitiva</w:t>
      </w:r>
    </w:p>
    <w:p>
      <w:pPr>
        <w:keepLines/>
        <w:widowControl/>
        <w:spacing w:after="140" w:line="276" w:lineRule="auto"/>
      </w:pPr>
      <w:r>
        <w:rPr>
          <w:b/>
          <w:color w:val="1F4D78"/>
        </w:rPr>
        <w:t xml:space="preserve">Ambivalenza originaria. </w:t>
      </w:r>
      <w:r>
        <w:t>Seth è avversario di Osiride e contendente di Horus, ma è anche il difensore della barca di Ra che affronta e abbatte Apopi. Ridurlo a caos, guerra o male assoluto cancella una funzione positiva direttamente attestata: la difesa di Maat e della continuità solare.</w:t>
      </w:r>
    </w:p>
    <w:p>
      <w:pPr>
        <w:keepLines/>
        <w:widowControl/>
        <w:spacing w:after="140" w:line="276" w:lineRule="auto"/>
      </w:pPr>
      <w:r>
        <w:rPr>
          <w:b/>
          <w:color w:val="1F4D78"/>
        </w:rPr>
        <w:t xml:space="preserve">Figura liminale. </w:t>
      </w:r>
      <w:r>
        <w:t>Deserto, tempesta, forza, straniero e attraversamento dei confini appartengono al suo campo simbolico. La stessa potenza che viola l’ordine osiriaco può essere impiegata per impedire che Apopi blocchi il ritorno di Ra.</w:t>
      </w:r>
    </w:p>
    <w:p>
      <w:pPr>
        <w:keepLines/>
        <w:widowControl/>
        <w:spacing w:after="140" w:line="276" w:lineRule="auto"/>
      </w:pPr>
      <w:r>
        <w:rPr>
          <w:b/>
          <w:color w:val="1F4D78"/>
        </w:rPr>
        <w:t xml:space="preserve">Sacrificio animale. </w:t>
      </w:r>
      <w:r>
        <w:t>Nel rituale funerario il toro sacrificato può incorporare Seth; altre tradizioni ne rappresentano la sconfitta mediante animali ostili o sacrificali. La morte rituale colpisce dunque una manifestazione animale utilizzata nel dramma osiriaco. [S23]</w:t>
      </w:r>
    </w:p>
    <w:p>
      <w:pPr>
        <w:keepLines/>
        <w:widowControl/>
        <w:spacing w:after="140" w:line="276" w:lineRule="auto"/>
      </w:pPr>
      <w:r>
        <w:rPr>
          <w:b/>
          <w:color w:val="1F4D78"/>
        </w:rPr>
        <w:t xml:space="preserve">Permanenza. </w:t>
      </w:r>
      <w:r>
        <w:t>Nel Pap. Berlin P. 8278b Seth non morirà benché il rito ne compia l’assassinio; nel Papiro Jumilhac ricompare dopo legatura, combustione, scuoiamento e marchiatura. Le fonti permettono la formulazione precisa: Seth può essere ucciso nelle sue manifestazioni, ma non viene reso definitivamente morto. [S22]</w:t>
      </w:r>
    </w:p>
    <w:p>
      <w:pPr>
        <w:keepLines/>
        <w:widowControl/>
        <w:spacing w:after="140" w:line="276" w:lineRule="auto"/>
      </w:pPr>
      <w:r>
        <w:rPr>
          <w:b/>
          <w:color w:val="1F4D78"/>
        </w:rPr>
        <w:t xml:space="preserve">Forma divina. </w:t>
      </w:r>
      <w:r>
        <w:t>Le raffigurazioni animali o ibride esprimono qualità sovrumane e non dimostrano un corpo biologico né una provenienza da un’altra dimensione. La forma di Seth resta però coerente con una presenza divina che entra nel racconto attraverso manifestazioni o avatar, anziché come semplice essere umano. [S15; S24]</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contro il male assoluto; A/B per la non-morte; C per l’avatar extracosmico</w:t>
            </w:r>
          </w:p>
          <w:p>
            <w:pPr>
              <w:spacing w:after="0" w:line="269" w:lineRule="auto"/>
            </w:pPr>
            <w:r>
              <w:rPr>
                <w:color w:val="222222"/>
                <w:sz w:val="20"/>
              </w:rPr>
              <w:t>Seth è storicamente una potenza ambivalente e necessaria al ritorno solare. La sua indipendenza dalla morte definitiva rafforza la funzione liberatrice; l’origine esterna al cosmo resta un’interpretazione metafisica, non una prova storica.</w:t>
            </w:r>
          </w:p>
        </w:tc>
      </w:tr>
    </w:tbl>
    <w:p>
      <w:pPr>
        <w:widowControl/>
        <w:spacing w:after="0"/>
      </w:pPr>
    </w:p>
    <w:p>
      <w:pPr>
        <w:pStyle w:val="Heading1"/>
        <w:keepNext/>
      </w:pPr>
      <w:r>
        <w:t>10. Seth, conoscenza e trasmissioni successive</w:t>
      </w:r>
    </w:p>
    <w:p>
      <w:pPr>
        <w:keepLines/>
        <w:widowControl/>
        <w:spacing w:after="140" w:line="276" w:lineRule="auto"/>
      </w:pPr>
      <w:r>
        <w:rPr>
          <w:b/>
          <w:color w:val="1F4D78"/>
        </w:rPr>
        <w:t xml:space="preserve">Defacement. </w:t>
      </w:r>
      <w:r>
        <w:t>Proscrizione, danneggiamento e neutralizzazione rituale di Seth sono reali ma selettivi. Immagini intatte, persistenza del culto e usi positivi impediscono di parlare di una cancellazione totale o di una politica unica. Il gesto prova che Seth era una potenza controversa ed efficace; non prova quale dottrina si volesse occultare. [S2; S3]</w:t>
      </w:r>
    </w:p>
    <w:p>
      <w:pPr>
        <w:keepLines/>
        <w:widowControl/>
        <w:spacing w:after="140" w:line="276" w:lineRule="auto"/>
      </w:pPr>
      <w:r>
        <w:rPr>
          <w:b/>
          <w:color w:val="1F4D78"/>
        </w:rPr>
        <w:t xml:space="preserve">Testi gnostici. </w:t>
      </w:r>
      <w:r>
        <w:t>Nel Libro sacro del Grande Spirito Invisibile e nell’Apocalisse di Adamo, Seth è legato alla stirpe incorruttibile, alla rivelazione, alla memoria dell’origine e alla conoscenza salvifica. Questa funzione è direttamente attestata nei corpora successivi. [P8; P18]</w:t>
      </w:r>
    </w:p>
    <w:p>
      <w:pPr>
        <w:keepLines/>
        <w:widowControl/>
        <w:spacing w:after="140" w:line="276" w:lineRule="auto"/>
      </w:pPr>
      <w:r>
        <w:rPr>
          <w:b/>
          <w:color w:val="1F4D78"/>
        </w:rPr>
        <w:t xml:space="preserve">Distinzione filologica. </w:t>
      </w:r>
      <w:r>
        <w:t>La somiglianza del nome non dimostra che il Seth gnostico sia storicamente il dio egizio. Gli studi distinguono le figure e non consentono una linea personale continua Set-Seth. Il confronto può dunque essere funzionale e filosofico, non un’identificazione filologica. [S17]</w:t>
      </w:r>
    </w:p>
    <w:p>
      <w:pPr>
        <w:keepLines/>
        <w:widowControl/>
        <w:spacing w:after="140" w:line="276" w:lineRule="auto"/>
      </w:pPr>
      <w:r>
        <w:rPr>
          <w:b/>
          <w:color w:val="1F4D78"/>
        </w:rPr>
        <w:t xml:space="preserve">Sintesi consentita. </w:t>
      </w:r>
      <w:r>
        <w:t>Seth egizio è oppositore dell’ordine osiriaco, protettore di Ra e potenza non definitivamente trattenuta dalla morte; Seth gnostico è rivelatore della conoscenza che restituisce memoria dell’origine. La filosofia può unirne le funzioni nella figura della conoscenza oppositiva, dichiarando il passaggio comparativo.</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i componenti; B/C per la sintesi</w:t>
            </w:r>
          </w:p>
          <w:p>
            <w:pPr>
              <w:spacing w:after="0" w:line="269" w:lineRule="auto"/>
            </w:pPr>
            <w:r>
              <w:rPr>
                <w:color w:val="222222"/>
                <w:sz w:val="20"/>
              </w:rPr>
              <w:t>L’identificazione “Seth = conoscenza liberatrice” non è una definizione egizia antica, ma una deduzione cumulativa forte. La cancellazione di Seth non prova la soppressione di una gnosi precisa; i testi successivi forniscono però un contenuto rivelativo reale alla rilettura.</w:t>
            </w:r>
          </w:p>
        </w:tc>
      </w:tr>
    </w:tbl>
    <w:p>
      <w:pPr>
        <w:widowControl/>
        <w:spacing w:after="0"/>
      </w:pPr>
    </w:p>
    <w:p>
      <w:pPr>
        <w:pStyle w:val="Heading1"/>
        <w:keepNext/>
      </w:pPr>
      <w:r>
        <w:t>11. Dalle porte egizie alle potenze gnostiche</w:t>
      </w:r>
    </w:p>
    <w:p>
      <w:pPr>
        <w:keepLines/>
        <w:widowControl/>
        <w:spacing w:after="140" w:line="276" w:lineRule="auto"/>
      </w:pPr>
      <w:r>
        <w:rPr>
          <w:b/>
          <w:color w:val="1F4D78"/>
        </w:rPr>
        <w:t xml:space="preserve">Continuità funeraria. </w:t>
      </w:r>
      <w:r>
        <w:t>Dopo il declino della recensione saitica del Libro dei Morti, Libri e Documenti del Respirare ne rielaborano capitoli e funzioni fino all’età romana. Esiste quindi una continuità rituale egizia documentata, non soltanto una somiglianza moderna. [S20]</w:t>
      </w:r>
    </w:p>
    <w:p>
      <w:pPr>
        <w:keepLines/>
        <w:widowControl/>
        <w:spacing w:after="140" w:line="276" w:lineRule="auto"/>
      </w:pPr>
      <w:r>
        <w:rPr>
          <w:b/>
          <w:color w:val="1F4D78"/>
        </w:rPr>
        <w:t xml:space="preserve">Libri di Jeu. </w:t>
      </w:r>
      <w:r>
        <w:t>Nei Libri di Jeu l’anima attraversa regioni custodite mediante nomi, sigilli, cifre e formule. Evans confronta direttamente questa struttura con i capitoli 144-147 del Libro dei Morti: successione di livelli, tre custodi per porta, nomi da pronunciare, esseri raffigurati e procedure che fanno arretrare le potenze. [P21; S12; S21]</w:t>
      </w:r>
    </w:p>
    <w:p>
      <w:pPr>
        <w:keepLines/>
        <w:widowControl/>
        <w:spacing w:after="140" w:line="276" w:lineRule="auto"/>
      </w:pPr>
      <w:r>
        <w:rPr>
          <w:b/>
          <w:color w:val="1F4D78"/>
        </w:rPr>
        <w:t xml:space="preserve">Trasformazione. </w:t>
      </w:r>
      <w:r>
        <w:t>La meta jeuiana sono i Tesori della Luce e la cosmologia integra elementi egizi, astrologici, greco-romani, giudaici e cristiani. La continuità riguarda una grammatica rituale di accesso controllato e superamento delle potenze, non una dipendenza lineare da un singolo manoscritto.</w:t>
      </w:r>
    </w:p>
    <w:p>
      <w:pPr>
        <w:keepLines/>
        <w:widowControl/>
        <w:spacing w:after="140" w:line="276" w:lineRule="auto"/>
      </w:pPr>
      <w:r>
        <w:rPr>
          <w:b/>
          <w:color w:val="1F4D78"/>
        </w:rPr>
        <w:t xml:space="preserve">Limite. </w:t>
      </w:r>
      <w:r>
        <w:t>Non è documentato che Horus diventi il capo degli Arconti. Lo zodiaco a dodici segni è tardo e non può essere retrodatato ai Testi delle Piramidi. Il Pleroma è una categoria gnostica, non il nome egizio attestato della destinazione celeste. [P7; P9; P10]</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B/C per la continuità rituale; D per Horus-Arconti</w:t>
            </w:r>
          </w:p>
          <w:p>
            <w:pPr>
              <w:spacing w:after="0" w:line="269" w:lineRule="auto"/>
            </w:pPr>
            <w:r>
              <w:rPr>
                <w:color w:val="222222"/>
                <w:sz w:val="20"/>
              </w:rPr>
              <w:t>È sostenibile una genealogia ambientale e funzionale fra porte egizie, custodi, nomi di passaggio e sistemi gnostici di ascesa. Non sono sostenibili l’equazione Horus-Arconti né una trasmissione personale continua di Seth.</w:t>
            </w:r>
          </w:p>
        </w:tc>
      </w:tr>
    </w:tbl>
    <w:p>
      <w:pPr>
        <w:widowControl/>
        <w:spacing w:after="0"/>
      </w:pPr>
    </w:p>
    <w:p>
      <w:pPr>
        <w:pStyle w:val="Heading1"/>
        <w:keepNext/>
      </w:pPr>
      <w:r>
        <w:t>12. Confini definitivi della ricostruzione</w:t>
      </w:r>
    </w:p>
    <w:p>
      <w:pPr>
        <w:pStyle w:val="ListBullet"/>
        <w:keepLines/>
        <w:spacing w:after="80" w:line="269" w:lineRule="auto"/>
      </w:pPr>
      <w:r>
        <w:t>Osiride come Demiurgo che introduce intenzionalmente morte e sofferenza: non attestato; nella Vacca Celeste la violenza precede il ritiro completo di Ra e Osiride non ne è l’autore.</w:t>
      </w:r>
    </w:p>
    <w:p>
      <w:pPr>
        <w:pStyle w:val="ListBullet"/>
        <w:keepLines/>
        <w:spacing w:after="80" w:line="269" w:lineRule="auto"/>
      </w:pPr>
      <w:r>
        <w:t>Osiride come autore dichiarato di una prigione per scintille divine: non attestato. È invece documentata la funzione intenzionale di custodia e restrizione svolta dai funzionari del suo apparato, sul quale Osiride esercita autorità sovrana.</w:t>
      </w:r>
    </w:p>
    <w:p>
      <w:pPr>
        <w:pStyle w:val="ListBullet"/>
        <w:keepLines/>
        <w:spacing w:after="80" w:line="269" w:lineRule="auto"/>
      </w:pPr>
      <w:r>
        <w:t>Regno dei morti come carcere universale di tutte le anime: non attestato; le fonti provano il rischio di trattenimento e la necessità di evitarlo.</w:t>
      </w:r>
    </w:p>
    <w:p>
      <w:pPr>
        <w:pStyle w:val="ListBullet"/>
        <w:keepLines/>
        <w:spacing w:after="80" w:line="269" w:lineRule="auto"/>
      </w:pPr>
      <w:r>
        <w:t>Reincarnazione come riciclo deliberato delle scintille: esclusa dal nucleo; la rinascita egizia non equivale a una nuova vita umana seriale.</w:t>
      </w:r>
    </w:p>
    <w:p>
      <w:pPr>
        <w:pStyle w:val="ListBullet"/>
        <w:keepLines/>
        <w:spacing w:after="80" w:line="269" w:lineRule="auto"/>
      </w:pPr>
      <w:r>
        <w:t>Horus governante con gli Arconti: collegamento non documentato e non necessario alla filosofia.</w:t>
      </w:r>
    </w:p>
    <w:p>
      <w:pPr>
        <w:pStyle w:val="ListBullet"/>
        <w:keepLines/>
        <w:spacing w:after="80" w:line="269" w:lineRule="auto"/>
      </w:pPr>
      <w:r>
        <w:t>Seth proveniente da una dimensione esterna: ipotesi metafisica compatibile con l’avatar, ma non deducibile dalle raffigurazioni animali o dalla sua non-morte.</w:t>
      </w:r>
    </w:p>
    <w:p>
      <w:pPr>
        <w:pStyle w:val="ListBullet"/>
        <w:keepLines/>
        <w:spacing w:after="80" w:line="269" w:lineRule="auto"/>
      </w:pPr>
      <w:r>
        <w:t>Defacement come prova della cancellazione di una dottrina liberatrice precisa: inferenza non dimostrata; è provata soltanto la neutralizzazione selettiva di una potenza oppositiva.</w:t>
      </w:r>
    </w:p>
    <w:p>
      <w:pPr>
        <w:pStyle w:val="ListBullet"/>
        <w:keepLines/>
        <w:spacing w:after="80" w:line="269" w:lineRule="auto"/>
      </w:pPr>
      <w:r>
        <w:t>Pleroma come termine o luogo egizio: falso sul piano filologico; resta una categoria comparativa per indicare la fonte trascendente.</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Criterio conclusivo</w:t>
            </w:r>
          </w:p>
          <w:p>
            <w:pPr>
              <w:spacing w:after="0" w:line="269" w:lineRule="auto"/>
            </w:pPr>
            <w:r>
              <w:rPr>
                <w:color w:val="222222"/>
                <w:sz w:val="20"/>
              </w:rPr>
              <w:t>La filosofia conserva ciò che le fonti rendono cumulativamente forte e rinuncia alle parti che richiederebbero di trasformare un’assenza in prova. Il suo nucleo non dipende da reincarnazione, Horus-Arconti, origine extraterrestre o intenzione psicologica di Osiride.</w:t>
            </w:r>
          </w:p>
        </w:tc>
      </w:tr>
    </w:tbl>
    <w:p>
      <w:pPr>
        <w:widowControl/>
        <w:spacing w:after="0"/>
      </w:pPr>
    </w:p>
    <w:p>
      <w:pPr>
        <w:pStyle w:val="Heading1"/>
        <w:keepNext/>
      </w:pPr>
      <w:r>
        <w:t>13. Catena probatoria e formulazione finale</w:t>
      </w:r>
    </w:p>
    <w:p>
      <w:pPr>
        <w:keepLines/>
        <w:widowControl/>
        <w:spacing w:after="140" w:line="276" w:lineRule="auto"/>
      </w:pPr>
      <w:r>
        <w:rPr>
          <w:b/>
          <w:color w:val="1F4D78"/>
        </w:rPr>
        <w:t xml:space="preserve">1. </w:t>
      </w:r>
      <w:r>
        <w:t>La più antica escatologia regale scritta è fortemente celeste, solare e stellare, pur contenendo già elementi osiriaci.</w:t>
      </w:r>
    </w:p>
    <w:p>
      <w:pPr>
        <w:keepLines/>
        <w:widowControl/>
        <w:spacing w:after="140" w:line="276" w:lineRule="auto"/>
      </w:pPr>
      <w:r>
        <w:rPr>
          <w:b/>
          <w:color w:val="1F4D78"/>
        </w:rPr>
        <w:t xml:space="preserve">2. </w:t>
      </w:r>
      <w:r>
        <w:t>Una formula antica e ripetuta nega che il re venga consegnato al controllo di Osiride.</w:t>
      </w:r>
    </w:p>
    <w:p>
      <w:pPr>
        <w:keepLines/>
        <w:widowControl/>
        <w:spacing w:after="140" w:line="276" w:lineRule="auto"/>
      </w:pPr>
      <w:r>
        <w:rPr>
          <w:b/>
          <w:color w:val="1F4D78"/>
        </w:rPr>
        <w:t xml:space="preserve">3. </w:t>
      </w:r>
      <w:r>
        <w:t>L’osirianizzazione dell’aldilà è uno sviluppo storico che rende Osiride sovrano e modello dei morti.</w:t>
      </w:r>
    </w:p>
    <w:p>
      <w:pPr>
        <w:keepLines/>
        <w:widowControl/>
        <w:spacing w:after="140" w:line="276" w:lineRule="auto"/>
      </w:pPr>
      <w:r>
        <w:rPr>
          <w:b/>
          <w:color w:val="1F4D78"/>
        </w:rPr>
        <w:t xml:space="preserve">4. </w:t>
      </w:r>
      <w:r>
        <w:t>Testi successivi documentano custodi legati all’ambiente osiriaco, capaci di sorvegliare anime e trattenere ombre.</w:t>
      </w:r>
    </w:p>
    <w:p>
      <w:pPr>
        <w:keepLines/>
        <w:widowControl/>
        <w:spacing w:after="140" w:line="276" w:lineRule="auto"/>
      </w:pPr>
      <w:r>
        <w:rPr>
          <w:b/>
          <w:color w:val="1F4D78"/>
        </w:rPr>
        <w:t xml:space="preserve">5. </w:t>
      </w:r>
      <w:r>
        <w:t>Le formule conosciute impediscono il trattenimento, aprono porte e cielo e permettono di raggiungere Ra.</w:t>
      </w:r>
    </w:p>
    <w:p>
      <w:pPr>
        <w:keepLines/>
        <w:widowControl/>
        <w:spacing w:after="140" w:line="276" w:lineRule="auto"/>
      </w:pPr>
      <w:r>
        <w:t>6. Ra attraversa ogni notte il Duat e rinasce all’alba; il defunto può unirsi alla navigazione e partecipare alla rigenerazione ciclica.</w:t>
      </w:r>
    </w:p>
    <w:p>
      <w:pPr>
        <w:keepLines/>
        <w:widowControl/>
        <w:spacing w:after="140" w:line="276" w:lineRule="auto"/>
      </w:pPr>
      <w:r>
        <w:rPr>
          <w:b/>
          <w:color w:val="1F4D78"/>
        </w:rPr>
        <w:t xml:space="preserve">7. </w:t>
      </w:r>
      <w:r>
        <w:t>Seth protegge la barca solare da Apopi e non rimane definitivamente morto nelle sue sconfitte rituali.</w:t>
      </w:r>
    </w:p>
    <w:p>
      <w:pPr>
        <w:keepLines/>
        <w:widowControl/>
        <w:spacing w:after="140" w:line="276" w:lineRule="auto"/>
      </w:pPr>
      <w:r>
        <w:rPr>
          <w:b/>
          <w:color w:val="1F4D78"/>
        </w:rPr>
        <w:t xml:space="preserve">8. </w:t>
      </w:r>
      <w:r>
        <w:t>Nei testi gnostici successivi Seth assume esplicitamente una funzione di rivelazione e memoria dell’origine.</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E8EEF5"/>
            <w:tcMar>
              <w:top w:w="150" w:type="dxa"/>
              <w:start w:w="180" w:type="dxa"/>
              <w:bottom w:w="150" w:type="dxa"/>
              <w:end w:w="180" w:type="dxa"/>
            </w:tcMar>
          </w:tcPr>
          <w:p>
            <w:pPr>
              <w:spacing w:after="80"/>
            </w:pPr>
            <w:r>
              <w:rPr>
                <w:b/>
                <w:color w:val="2E7D32"/>
                <w:sz w:val="21"/>
              </w:rPr>
              <w:t>Formulazione finale sostenibile</w:t>
            </w:r>
          </w:p>
          <w:p>
            <w:pPr>
              <w:spacing w:after="0" w:line="269" w:lineRule="auto"/>
            </w:pPr>
            <w:r>
              <w:rPr>
                <w:color w:val="222222"/>
                <w:sz w:val="20"/>
              </w:rPr>
              <w:t>La Filosofia della liberazione cosmica identifica una tensione documentata fra amministrazione osiriaca della permanenza e rivendicazione solare della mobilità. Osiride governa il dominio dei morti; la conoscenza delle formule impedisce che il defunto sia trattenuto e apre l’accesso a Ra; Ra attraversa il Duat e riporta la luce; Seth difende la via solare e non è reso definitivamente morto. La conclusione filosofica è che libertà e conoscenza coincidono: conoscere significa sottrarsi all’autorità che pretende di amministrare definitivamente la coscienza.</w:t>
            </w:r>
          </w:p>
        </w:tc>
      </w:tr>
    </w:tbl>
    <w:p>
      <w:pPr>
        <w:widowControl/>
        <w:spacing w:after="0"/>
      </w:pPr>
    </w:p>
    <w:p>
      <w:pPr>
        <w:widowControl/>
        <w:spacing w:before="160" w:after="0"/>
      </w:pPr>
      <w:r>
        <w:rPr>
          <w:b/>
          <w:color w:val="1F4D78"/>
        </w:rPr>
        <w:t>Grado complessivo: B per la sintesi filosofica; A per i principali anelli testuali della catena.</w:t>
      </w:r>
    </w:p>
    <w:p>
      <w:pPr>
        <w:pStyle w:val="Heading1"/>
      </w:pPr>
      <w:r>
        <w:rPr>
          <w:rFonts w:ascii="Calibri" w:hAnsi="Calibri"/>
        </w:rPr>
        <w:t>14. Aggiornamento della ricerca e contributo originale</w:t>
      </w:r>
    </w:p>
    <w:p>
      <w:pPr>
        <w:pStyle w:val="Heading2"/>
      </w:pPr>
      <w:r>
        <w:rPr>
          <w:rFonts w:ascii="Calibri" w:hAnsi="Calibri"/>
        </w:rPr>
        <w:t>14.1 Intuizioni ora consolidate</w:t>
      </w:r>
    </w:p>
    <w:p>
      <w:r>
        <w:rPr>
          <w:rFonts w:ascii="Calibri" w:hAnsi="Calibri"/>
        </w:rPr>
        <w:t>La ricerca comparativa conferma il nucleo funzionale della filosofia: le fonti funerarie egizie attestano una via solare e stellare, una sfera osiriaca dotata di sovrano, giudizio, custodi e condizioni d’accesso, formule contro il trattenimento e la possibilità di raggiungere Ra. Non attestano, invece, che Osiride abbia progettato intenzionalmente una prigione cosmica. La conclusione sostenibile riguarda il funzionamento del sistema, non la psicologia del dio.</w:t>
      </w:r>
    </w:p>
    <w:p>
      <w:r>
        <w:rPr>
          <w:rFonts w:ascii="Calibri" w:hAnsi="Calibri"/>
        </w:rPr>
        <w:t>La nuova verifica permette tuttavia una formulazione più forte sul piano istituzionale. Nei Coffin Texts i responsabili dei segreti di Osiride ricevono l’ordine di tenersi lontani dal ba e di non trattenerlo; nel Libro dei Morti i guardiani delle membra di Osiride sono descritti come coloro che trattengono gli spiriti e rinchiudono le ombre. Il trattenimento non è quindi soltanto un rischio accidentale: è una funzione cosciente attribuita ai funzionari dell’ordinamento. Poiché Osiride ne è sovrano e giudice, si può parlare di intenzionalità detentiva dell’apparato osiriaco; non ancora di una confessione personale di Osiride come autore di una prigione cosmica.</w:t>
      </w:r>
    </w:p>
    <w:p>
      <w:r>
        <w:rPr>
          <w:rFonts w:ascii="Calibri" w:hAnsi="Calibri"/>
        </w:rPr>
        <w:t>Il Testo delle Piramidi 213 rende esplicito anche il conflitto di giurisdizione: Ra-Atum non consegna il re a Osiride e Osiride non deve avere potere su di lui. La formula non prova che ogni anima sia sempre incarcerata, ma dimostra che il potere osiriaco è una destinazione da cui il sovrano può essere sottratto. La decisione post mortem non è neutrale: il giudizio, il riconoscimento e l’ammissione influenzano concretamente la condizione successiva del defunto.</w:t>
      </w:r>
    </w:p>
    <w:p>
      <w:r>
        <w:rPr>
          <w:rFonts w:ascii="Calibri" w:hAnsi="Calibri"/>
        </w:rPr>
        <w:t>L’apparato funerario possiede anche una dimensione materiale: testi, rituali, specialisti, laboratori e manoscritti commissionati rendevano l’accesso alla conoscenza dipendente da pratiche e risorse. Ciò documenta una mediazione concreta del destino post mortem, ma non prova che Osiride abbia creato deliberatamente un mercato religioso.</w:t>
      </w:r>
    </w:p>
    <w:p>
      <w:r>
        <w:t>Il movente dell’invidia attribuito a Seth non è ricavabile con sicurezza dalle testimonianze egizie più antiche. I Testi delle Piramidi attestano conflitto, violenza e morte di Osiride, ma non offrono una psicologia unitaria dell’aggressore. Nel racconto principale di Plutarco, molto più tardo, Tifone ordisce l’inganno con i congiurati, ma l’invidia non è dichiarata come causa dell’azione. La spiegazione moderna del deserto sterile “invidioso” della valle fertile è quindi una razionalizzazione, non un dato filologico.</w:t>
      </w:r>
    </w:p>
    <w:p>
      <w:r>
        <w:t>Il verdetto ramesside non elimina Seth. Nelle Contese di Horus e Seth, Osiride esercita una pressione esplicita sul tribunale evocando messaggeri terribili; dopo la lettura della sua lettera Horus è dichiarato nel giusto, Seth viene condotto legato e rinuncia alla carica. Ma Ra-Harakhti lo accoglie come figlio e gli assegna una funzione celeste nel tuono. Il testo documenta dunque sconfitta dinastica e subordinazione, non annientamento ontologico né cancellazione della funzione solare.</w:t>
      </w:r>
    </w:p>
    <w:p>
      <w:r>
        <w:t>L’immagine cambia nei rituali tardi: il Libro della vittoria su Seth (BM EA 10252, 307/306 a.C.) mira alla sua degradazione, distruzione rituale ed espulsione dall’Egitto. Parallelamente, studi recenti sulla proscrizione mostrano che gli attacchi alle sue immagini non furono uniformi né completi e che il culto persistette in alcuni centri. La documentazione impone quindi una cronologia differenziata: integrazione solare, sconfitta politica, proscrizioni selettive e demonizzazione tarda non sono un unico evento.</w:t>
      </w:r>
    </w:p>
    <w:p>
      <w:pPr>
        <w:pStyle w:val="Heading2"/>
      </w:pPr>
      <w:r>
        <w:rPr>
          <w:rFonts w:ascii="Calibri" w:hAnsi="Calibri"/>
        </w:rPr>
        <w:t>14.2 Che cosa era già noto</w:t>
      </w:r>
    </w:p>
    <w:p>
      <w:r>
        <w:rPr>
          <w:rFonts w:ascii="Calibri" w:hAnsi="Calibri"/>
        </w:rPr>
        <w:t>La mobilità del defunto e l’uscita al giorno sono temi centrali del Libro dei Morti; la pluralità delle immagini egizie della salvezza è ampiamente riconosciuta. La conoscenza dei nomi dei custodi e delle formule come condizione d’accesso è già studiata nella letteratura egittologica. Anche la funzione di Seth sulla barca di Ra, la sua proscrizione selettiva in epoca tarda e il rapporto fra rituale egizio e testi gnostici jeuiani hanno precedenti specifici.</w:t>
      </w:r>
    </w:p>
    <w:p>
      <w:r>
        <w:rPr>
          <w:rFonts w:ascii="Calibri" w:hAnsi="Calibri"/>
        </w:rPr>
        <w:t>L’idea di una fuga o liberazione dalla sfera di Osiride non è del tutto inedita. Meeks e Favard-Meeks hanno descritto guardiani che sorvegliano i ba e la liberazione come sottrazione alle incertezze del regno dei morti; una successiva elaborazione non accademica, The Escape from Osiris, ha già riunito parte di questo materiale. Il presente lavoro riconosce quindi un antecedente diretto e non rivendica di aver inventato isolatamente l’espressione «fuga da Osiride».</w:t>
      </w:r>
    </w:p>
    <w:p>
      <w:pPr>
        <w:pStyle w:val="Heading2"/>
      </w:pPr>
      <w:r>
        <w:rPr>
          <w:rFonts w:ascii="Calibri" w:hAnsi="Calibri"/>
        </w:rPr>
        <w:t>14.3 Contributo specifico del presente lavoro</w:t>
      </w:r>
    </w:p>
    <w:p>
      <w:r>
        <w:t>L’originalità proposta non risiede nei singoli dati, ma nella loro concatenazione controllata: (1) non-consegna del re a Osiride; (2) testi di non-restrizione e superamento dei custodi; (3) accesso alla sfera solare; (4) Seth difensore del movimento contro Apopi; (5) verdetto ramesside che lo priva del trono senza annientarlo e lo reintegra nella sfera di Ra; (6) successiva proscrizione rituale; (7) trasformazione greco-romana di Seth in Tifone entro una cornice filosofica dualizzante. Questa sequenza consente di distinguere la storia documentata dalla costruzione filosofica e di correggere genealogie moderne fondate su una fonte tarda isolata.</w:t>
      </w:r>
    </w:p>
    <w:p>
      <w:r>
        <w:rPr>
          <w:rFonts w:ascii="Calibri" w:hAnsi="Calibri"/>
        </w:rPr>
        <w:t>È inoltre specifico il metodo: distinguere prova testuale, inferenza funzionale, confronto comparativo e ipotesi metafisica; riconoscere l’intenzionalità detentiva dell’apparato osiriaco senza trasformarla in una confessione psicologica personale di Osiride; escludere dal nucleo probatorio reincarnazione, Horus come arconte, origine extracosmica dimostrata e derivazione storica diretta dello gnosticismo da un unico sistema egizio.</w:t>
      </w:r>
    </w:p>
    <w:p>
      <w:r>
        <w:t>Nel corpus bibliografico qui esaminato non è stata individuata un’altra trattazione che formuli integralmente questa catena Seth–Ra–Osiride–conoscenza e, nello stesso tempo, la colleghi a una critica genealogica della ricezione plutarchea. La rivendicazione di novità riguarda quindi l’architettura sintetica e il metodo di controllo dei passaggi, non la scoperta dei singoli testi né una priorità assoluta impossibile da garantire.</w:t>
      </w:r>
    </w:p>
    <w:p>
      <w:pPr>
        <w:pStyle w:val="Heading2"/>
      </w:pPr>
      <w:r>
        <w:rPr>
          <w:rFonts w:ascii="Calibri" w:hAnsi="Calibri"/>
        </w:rPr>
        <w:t>14.4 Matrice di novità</w:t>
      </w:r>
    </w:p>
    <w:tbl>
      <w:tblPr>
        <w:tblStyle w:val="TableGrid"/>
        <w:tblW w:type="dxa" w:w="9360"/>
        <w:jc w:val="left"/>
        <w:tblLayout w:type="fixed"/>
        <w:tblLook w:firstColumn="1" w:firstRow="1" w:lastColumn="0" w:lastRow="0" w:noHBand="0" w:noVBand="1" w:val="04A0"/>
        <w:tblInd w:w="120" w:type="dxa"/>
      </w:tblPr>
      <w:tblGrid>
        <w:gridCol w:w="1650"/>
        <w:gridCol w:w="2320"/>
        <w:gridCol w:w="3390"/>
        <w:gridCol w:w="2000"/>
      </w:tblGrid>
      <w:tr>
        <w:tc>
          <w:tcPr>
            <w:tcW w:type="dxa" w:w="1650"/>
            <w:shd w:fill="E8EEF5"/>
            <w:tcMar>
              <w:top w:w="80" w:type="dxa"/>
              <w:start w:w="120" w:type="dxa"/>
              <w:bottom w:w="80" w:type="dxa"/>
              <w:end w:w="120" w:type="dxa"/>
            </w:tcMar>
            <w:vAlign w:val="top"/>
          </w:tcPr>
          <w:p>
            <w:r>
              <w:rPr>
                <w:rFonts w:ascii="Calibri" w:hAnsi="Calibri"/>
                <w:b/>
                <w:color w:val="0B2545"/>
                <w:sz w:val="18"/>
              </w:rPr>
              <w:t>Elemento</w:t>
            </w:r>
          </w:p>
        </w:tc>
        <w:tc>
          <w:tcPr>
            <w:tcW w:type="dxa" w:w="2320"/>
            <w:shd w:fill="E8EEF5"/>
            <w:tcMar>
              <w:top w:w="80" w:type="dxa"/>
              <w:start w:w="120" w:type="dxa"/>
              <w:bottom w:w="80" w:type="dxa"/>
              <w:end w:w="120" w:type="dxa"/>
            </w:tcMar>
            <w:vAlign w:val="top"/>
          </w:tcPr>
          <w:p>
            <w:r>
              <w:rPr>
                <w:rFonts w:ascii="Calibri" w:hAnsi="Calibri"/>
                <w:b/>
                <w:color w:val="0B2545"/>
                <w:sz w:val="18"/>
              </w:rPr>
              <w:t>Stato negli studi</w:t>
            </w:r>
          </w:p>
        </w:tc>
        <w:tc>
          <w:tcPr>
            <w:tcW w:type="dxa" w:w="3390"/>
            <w:shd w:fill="E8EEF5"/>
            <w:tcMar>
              <w:top w:w="80" w:type="dxa"/>
              <w:start w:w="120" w:type="dxa"/>
              <w:bottom w:w="80" w:type="dxa"/>
              <w:end w:w="120" w:type="dxa"/>
            </w:tcMar>
            <w:vAlign w:val="top"/>
          </w:tcPr>
          <w:p>
            <w:r>
              <w:rPr>
                <w:rFonts w:ascii="Calibri" w:hAnsi="Calibri"/>
                <w:b/>
                <w:color w:val="0B2545"/>
                <w:sz w:val="18"/>
              </w:rPr>
              <w:t>Contributo del lavoro</w:t>
            </w:r>
          </w:p>
        </w:tc>
        <w:tc>
          <w:tcPr>
            <w:tcW w:type="dxa" w:w="2000"/>
            <w:shd w:fill="E8EEF5"/>
            <w:tcMar>
              <w:top w:w="80" w:type="dxa"/>
              <w:start w:w="120" w:type="dxa"/>
              <w:bottom w:w="80" w:type="dxa"/>
              <w:end w:w="120" w:type="dxa"/>
            </w:tcMar>
            <w:vAlign w:val="top"/>
          </w:tcPr>
          <w:p>
            <w:r>
              <w:rPr>
                <w:rFonts w:ascii="Calibri" w:hAnsi="Calibri"/>
                <w:b/>
                <w:color w:val="0B2545"/>
                <w:sz w:val="18"/>
              </w:rPr>
              <w:t>Valutazione</w:t>
            </w:r>
          </w:p>
        </w:tc>
      </w:tr>
      <w:tr>
        <w:tc>
          <w:tcPr>
            <w:tcW w:type="dxa" w:w="1650"/>
            <w:tcMar>
              <w:top w:w="80" w:type="dxa"/>
              <w:start w:w="120" w:type="dxa"/>
              <w:bottom w:w="80" w:type="dxa"/>
              <w:end w:w="120" w:type="dxa"/>
            </w:tcMar>
            <w:vAlign w:val="top"/>
          </w:tcPr>
          <w:p>
            <w:r>
              <w:rPr>
                <w:rFonts w:ascii="Calibri" w:hAnsi="Calibri"/>
                <w:sz w:val="17"/>
              </w:rPr>
              <w:t>Conoscenza e custodi</w:t>
            </w:r>
          </w:p>
        </w:tc>
        <w:tc>
          <w:tcPr>
            <w:tcW w:type="dxa" w:w="2320"/>
            <w:tcMar>
              <w:top w:w="80" w:type="dxa"/>
              <w:start w:w="120" w:type="dxa"/>
              <w:bottom w:w="80" w:type="dxa"/>
              <w:end w:w="120" w:type="dxa"/>
            </w:tcMar>
            <w:vAlign w:val="top"/>
          </w:tcPr>
          <w:p>
            <w:r>
              <w:rPr>
                <w:rFonts w:ascii="Calibri" w:hAnsi="Calibri"/>
                <w:sz w:val="17"/>
              </w:rPr>
              <w:t>Già documentati</w:t>
            </w:r>
          </w:p>
        </w:tc>
        <w:tc>
          <w:tcPr>
            <w:tcW w:type="dxa" w:w="3390"/>
            <w:tcMar>
              <w:top w:w="80" w:type="dxa"/>
              <w:start w:w="120" w:type="dxa"/>
              <w:bottom w:w="80" w:type="dxa"/>
              <w:end w:w="120" w:type="dxa"/>
            </w:tcMar>
            <w:vAlign w:val="top"/>
          </w:tcPr>
          <w:p>
            <w:r>
              <w:rPr>
                <w:rFonts w:ascii="Calibri" w:hAnsi="Calibri"/>
                <w:sz w:val="17"/>
              </w:rPr>
              <w:t>Integrati in un modello della libertà</w:t>
            </w:r>
          </w:p>
        </w:tc>
        <w:tc>
          <w:tcPr>
            <w:tcW w:type="dxa" w:w="2000"/>
            <w:tcMar>
              <w:top w:w="80" w:type="dxa"/>
              <w:start w:w="120" w:type="dxa"/>
              <w:bottom w:w="80" w:type="dxa"/>
              <w:end w:w="120" w:type="dxa"/>
            </w:tcMar>
            <w:vAlign w:val="top"/>
          </w:tcPr>
          <w:p>
            <w:r>
              <w:rPr>
                <w:rFonts w:ascii="Calibri" w:hAnsi="Calibri"/>
                <w:sz w:val="17"/>
              </w:rPr>
              <w:t>Sintesi nuova</w:t>
            </w:r>
          </w:p>
        </w:tc>
      </w:tr>
      <w:tr>
        <w:tc>
          <w:tcPr>
            <w:tcW w:type="dxa" w:w="1650"/>
            <w:tcMar>
              <w:top w:w="80" w:type="dxa"/>
              <w:start w:w="120" w:type="dxa"/>
              <w:bottom w:w="80" w:type="dxa"/>
              <w:end w:w="120" w:type="dxa"/>
            </w:tcMar>
            <w:vAlign w:val="top"/>
          </w:tcPr>
          <w:p>
            <w:r>
              <w:rPr>
                <w:rFonts w:ascii="Calibri" w:hAnsi="Calibri"/>
                <w:sz w:val="17"/>
              </w:rPr>
              <w:t>Fuga da Osiride</w:t>
            </w:r>
          </w:p>
        </w:tc>
        <w:tc>
          <w:tcPr>
            <w:tcW w:type="dxa" w:w="2320"/>
            <w:tcMar>
              <w:top w:w="80" w:type="dxa"/>
              <w:start w:w="120" w:type="dxa"/>
              <w:bottom w:w="80" w:type="dxa"/>
              <w:end w:w="120" w:type="dxa"/>
            </w:tcMar>
            <w:vAlign w:val="top"/>
          </w:tcPr>
          <w:p>
            <w:r>
              <w:rPr>
                <w:rFonts w:ascii="Calibri" w:hAnsi="Calibri"/>
                <w:sz w:val="17"/>
              </w:rPr>
              <w:t>Antecedenti presenti</w:t>
            </w:r>
          </w:p>
        </w:tc>
        <w:tc>
          <w:tcPr>
            <w:tcW w:type="dxa" w:w="3390"/>
            <w:tcMar>
              <w:top w:w="80" w:type="dxa"/>
              <w:start w:w="120" w:type="dxa"/>
              <w:bottom w:w="80" w:type="dxa"/>
              <w:end w:w="120" w:type="dxa"/>
            </w:tcMar>
            <w:vAlign w:val="top"/>
          </w:tcPr>
          <w:p>
            <w:r>
              <w:rPr>
                <w:rFonts w:ascii="Calibri" w:hAnsi="Calibri"/>
                <w:sz w:val="17"/>
              </w:rPr>
              <w:t>Riformulata come funzione detentiva istituzionale</w:t>
            </w:r>
          </w:p>
        </w:tc>
        <w:tc>
          <w:tcPr>
            <w:tcW w:type="dxa" w:w="2000"/>
            <w:tcMar>
              <w:top w:w="80" w:type="dxa"/>
              <w:start w:w="120" w:type="dxa"/>
              <w:bottom w:w="80" w:type="dxa"/>
              <w:end w:w="120" w:type="dxa"/>
            </w:tcMar>
            <w:vAlign w:val="top"/>
          </w:tcPr>
          <w:p>
            <w:r>
              <w:rPr>
                <w:rFonts w:ascii="Calibri" w:hAnsi="Calibri"/>
                <w:sz w:val="17"/>
              </w:rPr>
              <w:t>Rielaborazione</w:t>
            </w:r>
          </w:p>
        </w:tc>
      </w:tr>
      <w:tr>
        <w:tc>
          <w:tcPr>
            <w:tcW w:type="dxa" w:w="1650"/>
            <w:tcMar>
              <w:top w:w="80" w:type="dxa"/>
              <w:start w:w="120" w:type="dxa"/>
              <w:bottom w:w="80" w:type="dxa"/>
              <w:end w:w="120" w:type="dxa"/>
            </w:tcMar>
            <w:vAlign w:val="top"/>
          </w:tcPr>
          <w:p>
            <w:r>
              <w:rPr>
                <w:rFonts w:ascii="Calibri" w:hAnsi="Calibri"/>
                <w:sz w:val="17"/>
              </w:rPr>
              <w:t>Seth difensore di Ra</w:t>
            </w:r>
          </w:p>
        </w:tc>
        <w:tc>
          <w:tcPr>
            <w:tcW w:type="dxa" w:w="2320"/>
            <w:tcMar>
              <w:top w:w="80" w:type="dxa"/>
              <w:start w:w="120" w:type="dxa"/>
              <w:bottom w:w="80" w:type="dxa"/>
              <w:end w:w="120" w:type="dxa"/>
            </w:tcMar>
            <w:vAlign w:val="top"/>
          </w:tcPr>
          <w:p>
            <w:r>
              <w:rPr>
                <w:rFonts w:ascii="Calibri" w:hAnsi="Calibri"/>
                <w:sz w:val="17"/>
              </w:rPr>
              <w:t>Già documentato</w:t>
            </w:r>
          </w:p>
        </w:tc>
        <w:tc>
          <w:tcPr>
            <w:tcW w:type="dxa" w:w="3390"/>
            <w:tcMar>
              <w:top w:w="80" w:type="dxa"/>
              <w:start w:w="120" w:type="dxa"/>
              <w:bottom w:w="80" w:type="dxa"/>
              <w:end w:w="120" w:type="dxa"/>
            </w:tcMar>
            <w:vAlign w:val="top"/>
          </w:tcPr>
          <w:p>
            <w:r>
              <w:rPr>
                <w:rFonts w:ascii="Calibri" w:hAnsi="Calibri"/>
                <w:sz w:val="17"/>
              </w:rPr>
              <w:t>Collegato alla non-restrizione dell’anima</w:t>
            </w:r>
          </w:p>
        </w:tc>
        <w:tc>
          <w:tcPr>
            <w:tcW w:type="dxa" w:w="2000"/>
            <w:tcMar>
              <w:top w:w="80" w:type="dxa"/>
              <w:start w:w="120" w:type="dxa"/>
              <w:bottom w:w="80" w:type="dxa"/>
              <w:end w:w="120" w:type="dxa"/>
            </w:tcMar>
            <w:vAlign w:val="top"/>
          </w:tcPr>
          <w:p>
            <w:r>
              <w:rPr>
                <w:rFonts w:ascii="Calibri" w:hAnsi="Calibri"/>
                <w:sz w:val="17"/>
              </w:rPr>
              <w:t>Nesso comparativo</w:t>
            </w:r>
          </w:p>
        </w:tc>
      </w:tr>
      <w:tr>
        <w:tc>
          <w:tcPr>
            <w:tcW w:type="dxa" w:w="1650"/>
            <w:tcMar>
              <w:top w:w="80" w:type="dxa"/>
              <w:start w:w="120" w:type="dxa"/>
              <w:bottom w:w="80" w:type="dxa"/>
              <w:end w:w="120" w:type="dxa"/>
            </w:tcMar>
            <w:vAlign w:val="top"/>
          </w:tcPr>
          <w:p>
            <w:r>
              <w:rPr>
                <w:rFonts w:ascii="Calibri" w:hAnsi="Calibri"/>
                <w:sz w:val="17"/>
              </w:rPr>
              <w:t>Seth–gnosi</w:t>
            </w:r>
          </w:p>
        </w:tc>
        <w:tc>
          <w:tcPr>
            <w:tcW w:type="dxa" w:w="2320"/>
            <w:tcMar>
              <w:top w:w="80" w:type="dxa"/>
              <w:start w:w="120" w:type="dxa"/>
              <w:bottom w:w="80" w:type="dxa"/>
              <w:end w:w="120" w:type="dxa"/>
            </w:tcMar>
            <w:vAlign w:val="top"/>
          </w:tcPr>
          <w:p>
            <w:r>
              <w:rPr>
                <w:rFonts w:ascii="Calibri" w:hAnsi="Calibri"/>
                <w:sz w:val="17"/>
              </w:rPr>
              <w:t>Paralleli già discussi</w:t>
            </w:r>
          </w:p>
        </w:tc>
        <w:tc>
          <w:tcPr>
            <w:tcW w:type="dxa" w:w="3390"/>
            <w:tcMar>
              <w:top w:w="80" w:type="dxa"/>
              <w:start w:w="120" w:type="dxa"/>
              <w:bottom w:w="80" w:type="dxa"/>
              <w:end w:w="120" w:type="dxa"/>
            </w:tcMar>
            <w:vAlign w:val="top"/>
          </w:tcPr>
          <w:p>
            <w:r>
              <w:rPr>
                <w:rFonts w:ascii="Calibri" w:hAnsi="Calibri"/>
                <w:sz w:val="17"/>
              </w:rPr>
              <w:t>Ruolo di conoscenza liberatrice nel sistema completo</w:t>
            </w:r>
          </w:p>
        </w:tc>
        <w:tc>
          <w:tcPr>
            <w:tcW w:type="dxa" w:w="2000"/>
            <w:tcMar>
              <w:top w:w="80" w:type="dxa"/>
              <w:start w:w="120" w:type="dxa"/>
              <w:bottom w:w="80" w:type="dxa"/>
              <w:end w:w="120" w:type="dxa"/>
            </w:tcMar>
            <w:vAlign w:val="top"/>
          </w:tcPr>
          <w:p>
            <w:r>
              <w:rPr>
                <w:rFonts w:ascii="Calibri" w:hAnsi="Calibri"/>
                <w:sz w:val="17"/>
              </w:rPr>
              <w:t>Costruzione moderna</w:t>
            </w:r>
          </w:p>
        </w:tc>
      </w:tr>
      <w:tr>
        <w:tc>
          <w:tcPr>
            <w:tcW w:type="dxa" w:w="1650"/>
            <w:tcMar>
              <w:top w:w="80" w:type="dxa"/>
              <w:start w:w="120" w:type="dxa"/>
              <w:bottom w:w="80" w:type="dxa"/>
              <w:end w:w="120" w:type="dxa"/>
            </w:tcMar>
            <w:vAlign w:val="top"/>
          </w:tcPr>
          <w:p>
            <w:r>
              <w:rPr>
                <w:rFonts w:ascii="Calibri" w:hAnsi="Calibri"/>
                <w:sz w:val="17"/>
              </w:rPr>
              <w:t>Metodo A–E</w:t>
            </w:r>
          </w:p>
        </w:tc>
        <w:tc>
          <w:tcPr>
            <w:tcW w:type="dxa" w:w="2320"/>
            <w:tcMar>
              <w:top w:w="80" w:type="dxa"/>
              <w:start w:w="120" w:type="dxa"/>
              <w:bottom w:w="80" w:type="dxa"/>
              <w:end w:w="120" w:type="dxa"/>
            </w:tcMar>
            <w:vAlign w:val="top"/>
          </w:tcPr>
          <w:p>
            <w:r>
              <w:rPr>
                <w:rFonts w:ascii="Calibri" w:hAnsi="Calibri"/>
                <w:sz w:val="17"/>
              </w:rPr>
              <w:t>Non standard negli studi citati</w:t>
            </w:r>
          </w:p>
        </w:tc>
        <w:tc>
          <w:tcPr>
            <w:tcW w:type="dxa" w:w="3390"/>
            <w:tcMar>
              <w:top w:w="80" w:type="dxa"/>
              <w:start w:w="120" w:type="dxa"/>
              <w:bottom w:w="80" w:type="dxa"/>
              <w:end w:w="120" w:type="dxa"/>
            </w:tcMar>
            <w:vAlign w:val="top"/>
          </w:tcPr>
          <w:p>
            <w:r>
              <w:rPr>
                <w:rFonts w:ascii="Calibri" w:hAnsi="Calibri"/>
                <w:sz w:val="17"/>
              </w:rPr>
              <w:t>Graduazione esplicita di ogni affermazione</w:t>
            </w:r>
          </w:p>
        </w:tc>
        <w:tc>
          <w:tcPr>
            <w:tcW w:type="dxa" w:w="2000"/>
            <w:tcMar>
              <w:top w:w="80" w:type="dxa"/>
              <w:start w:w="120" w:type="dxa"/>
              <w:bottom w:w="80" w:type="dxa"/>
              <w:end w:w="120" w:type="dxa"/>
            </w:tcMar>
            <w:vAlign w:val="top"/>
          </w:tcPr>
          <w:p>
            <w:r>
              <w:rPr>
                <w:rFonts w:ascii="Calibri" w:hAnsi="Calibri"/>
                <w:sz w:val="17"/>
              </w:rPr>
              <w:t>Contributo metodologico</w:t>
            </w:r>
          </w:p>
        </w:tc>
      </w:tr>
      <w:tr>
        <w:tc>
          <w:tcPr>
            <w:tcW w:type="dxa" w:w="1650"/>
            <w:vAlign w:val="center"/>
          </w:tcPr>
          <w:p>
            <w:pPr>
              <w:spacing w:after="40" w:before="40"/>
            </w:pPr>
            <w:r>
              <w:rPr>
                <w:sz w:val="17"/>
              </w:rPr>
              <w:t>Verdetto e ricezione di Seth</w:t>
            </w:r>
          </w:p>
        </w:tc>
        <w:tc>
          <w:tcPr>
            <w:tcW w:type="dxa" w:w="2320"/>
            <w:vAlign w:val="center"/>
          </w:tcPr>
          <w:p>
            <w:pPr>
              <w:spacing w:after="40" w:before="40"/>
            </w:pPr>
            <w:r>
              <w:rPr>
                <w:sz w:val="17"/>
              </w:rPr>
              <w:t>Testi e fasi studiati separatamente</w:t>
            </w:r>
          </w:p>
        </w:tc>
        <w:tc>
          <w:tcPr>
            <w:tcW w:type="dxa" w:w="3390"/>
            <w:vAlign w:val="center"/>
          </w:tcPr>
          <w:p>
            <w:pPr>
              <w:spacing w:after="40" w:before="40"/>
            </w:pPr>
            <w:r>
              <w:rPr>
                <w:sz w:val="17"/>
              </w:rPr>
              <w:t>Sequenza integrata: sconfitta senza annientamento, proscrizione tarda, mediazione plutarchea e revisione genealogica</w:t>
            </w:r>
          </w:p>
        </w:tc>
        <w:tc>
          <w:tcPr>
            <w:tcW w:type="dxa" w:w="2000"/>
            <w:vAlign w:val="center"/>
          </w:tcPr>
          <w:p>
            <w:pPr>
              <w:spacing w:after="40" w:before="40"/>
            </w:pPr>
            <w:r>
              <w:rPr>
                <w:sz w:val="17"/>
              </w:rPr>
              <w:t>Sintesi storico-critica</w:t>
            </w:r>
          </w:p>
        </w:tc>
      </w:tr>
    </w:tbl>
    <w:p>
      <w:r>
        <w:rPr>
          <w:rFonts w:ascii="Calibri" w:hAnsi="Calibri"/>
          <w:i/>
        </w:rPr>
        <w:t>Nota: «nuovo» indica il contributo della presente sintesi rispetto alla bibliografia esaminata, non una priorità assoluta.</w:t>
      </w:r>
    </w:p>
    <w:p>
      <w:pPr>
        <w:pStyle w:val="Heading2"/>
      </w:pPr>
      <w:r>
        <w:rPr>
          <w:rFonts w:ascii="Calibri" w:hAnsi="Calibri"/>
        </w:rPr>
        <w:t>14.5 Fonti aggiunte per l’aggiornamento</w:t>
      </w:r>
    </w:p>
    <w:p>
      <w:r>
        <w:rPr>
          <w:rFonts w:ascii="Calibri" w:hAnsi="Calibri"/>
        </w:rPr>
        <w:t>[S25] Jan Assmann, Death and Salvation in Ancient Egypt, Cornell University Press, 2005.</w:t>
      </w:r>
    </w:p>
    <w:p>
      <w:r>
        <w:rPr>
          <w:rFonts w:ascii="Calibri" w:hAnsi="Calibri"/>
        </w:rPr>
        <w:t>[S26] Dimitri Meeks e Christine Favard-Meeks, Daily Life of the Egyptian Gods, Cornell University Press, 1996, specialmente p. 148.</w:t>
      </w:r>
    </w:p>
    <w:p>
      <w:r>
        <w:rPr>
          <w:rFonts w:ascii="Calibri" w:hAnsi="Calibri"/>
        </w:rPr>
        <w:t>[S27] Ronald J. Leprohon, «Gatekeepers of This and the Other World», sugli accessi subordinati alla conoscenza dei custodi.</w:t>
      </w:r>
    </w:p>
    <w:p>
      <w:r>
        <w:rPr>
          <w:rFonts w:ascii="Calibri" w:hAnsi="Calibri"/>
        </w:rPr>
        <w:t>[S28] Mariano Bonanno, «The Coffin Texts Spells 94–96 and 488–500 as Liturgy for the Living», Zeitschrift der Deutschen Morgenländischen Gesellschaft 168/2 (2018), pp. 275–304.</w:t>
      </w:r>
    </w:p>
    <w:p>
      <w:r>
        <w:rPr>
          <w:rFonts w:ascii="Calibri" w:hAnsi="Calibri"/>
        </w:rPr>
        <w:t>[S29] Colin A. Hope e Andrew Warfe, «The Proscription of Seth Revisited», sulla persistenza e selettività della proscrizione.</w:t>
      </w:r>
    </w:p>
    <w:p>
      <w:r>
        <w:rPr>
          <w:rFonts w:ascii="Calibri" w:hAnsi="Calibri"/>
        </w:rPr>
        <w:t>[S30] Johanna Arp-Neumann, «Negating Seth: Destruction as Vitality», Numen 68 (2021), pp. 157–181.</w:t>
      </w:r>
    </w:p>
    <w:p>
      <w:r>
        <w:rPr>
          <w:rFonts w:ascii="Calibri" w:hAnsi="Calibri"/>
        </w:rPr>
        <w:t>[S31] François Gaudard, «On the “Immortality” of the God Seth», in Illuminating Osiris, Lockwood Press, 2017, pp. 93–98.</w:t>
      </w:r>
    </w:p>
    <w:p>
      <w:r>
        <w:rPr>
          <w:rFonts w:ascii="Calibri" w:hAnsi="Calibri"/>
        </w:rPr>
        <w:t>[S32] Erin Evans, The Books of Jeu and the Pistis Sophia as Handbooks to Eternity, Brill, 2015.</w:t>
      </w:r>
    </w:p>
    <w:p>
      <w:r>
        <w:rPr>
          <w:rFonts w:ascii="Calibri" w:hAnsi="Calibri"/>
        </w:rPr>
        <w:t>[S33] Wim van den Dungen, «Ancient Egypt: The Escape from Osiris», Sofiatopia; antecedente comparativo non sottoposto a revisione paritaria.</w:t>
      </w:r>
    </w:p>
    <w:p>
      <w:r>
        <w:rPr>
          <w:rFonts w:ascii="Calibri" w:hAnsi="Calibri"/>
        </w:rPr>
        <w:t>[S34] Plutarco, De Iside et Osiride; confronto con i Testi delle Piramidi per la questione del movente di Seth.</w:t>
      </w:r>
    </w:p>
    <w:p>
      <w:r>
        <w:rPr>
          <w:rFonts w:ascii="Calibri" w:hAnsi="Calibri"/>
        </w:rPr>
        <w:t>[S35] Testi delle Piramidi, formula 213 (§§145–146): Ra-Atum non consegna il re a Osiride e Osiride non ha potere su di lui.</w:t>
      </w:r>
    </w:p>
    <w:p>
      <w:r>
        <w:rPr>
          <w:rFonts w:ascii="Calibri" w:hAnsi="Calibri"/>
        </w:rPr>
        <w:t>[S36] Coffin Texts 491 e Libro dei Morti 89–90: custodi osiriaci, non-restrizione del ba e apertura della via.</w:t>
      </w:r>
    </w:p>
    <w:p>
      <w:r>
        <w:rPr>
          <w:rFonts w:ascii="Calibri" w:hAnsi="Calibri"/>
        </w:rPr>
        <w:t>[S37] Libro dei Morti 108; Robert K. Ritner, The Mechanics of Ancient Egyptian Magical Practice, SAOC 54: Seth contro Apopi e protezione del transito solare.</w:t>
      </w:r>
    </w:p>
    <w:p>
      <w:r>
        <w:rPr>
          <w:rFonts w:ascii="Calibri" w:hAnsi="Calibri"/>
        </w:rPr>
        <w:t>[S38] Dylan M. Burns, Apocalypse of the Alien God, e studi sul Sethianismo: Seth come rivelatore/salvatore e schemi di ascesa.</w:t>
      </w:r>
    </w:p>
    <w:p>
      <w:pPr/>
      <w:r>
        <w:t>[S39] Miriam Lichtheim, Ancient Egyptian Literature, vol. II: The New Kingdom, University of California Press, 1976, pp. 214–223: traduzione delle Contese di Horus e Seth (Papiro Chester Beatty I).</w:t>
      </w:r>
    </w:p>
    <w:p>
      <w:pPr/>
      <w:r>
        <w:t>[S40] Chester Beatty Library, Papiro Chester Beatty I, manoscritto ramesside: testimone delle Contese di Horus e Seth. https://viewer.cbl.ie/viewer/image/Pap_1_2/8/LOG_0000/</w:t>
      </w:r>
    </w:p>
    <w:p>
      <w:pPr/>
      <w:r>
        <w:t>[S41] Siegfried Schott, Urkunden mythologischen Inhalts, VI: The Book of the Victory over Seth; BM EA 10252, datato al 307/306 a.C.</w:t>
      </w:r>
    </w:p>
    <w:p>
      <w:pPr/>
      <w:r>
        <w:t>[S42] Plutarco, De Iside et Osiride, Moralia 351C–384C: narrazione e interpretazione greco-romana di Iside, Osiride e Tifone.</w:t>
      </w:r>
    </w:p>
    <w:p>
      <w:pPr/>
      <w:r>
        <w:t>[S43] Michael Erler e Martin Andreas Stadler (a cura di), Platonismus und spätägyptische Religion: Plutarch und die Ägyptenrezeption in der römischen Kaiserzeit, De Gruyter, 2017.</w:t>
      </w:r>
    </w:p>
    <w:p>
      <w:pPr/>
      <w:r>
        <w:t>[S44] Jessica E. Tierney, Francesco S. R. Pausata e Peter B. deMenocal, «Rainfall Regimes of the Green Sahara», Science Advances 3 (2017), e1601503: quadro paleoclimatico utile a escludere letture naturalistiche troppo semplici, non a stabilire il movente di Seth.</w:t>
      </w:r>
    </w:p>
    <w:p>
      <w:pPr>
        <w:pStyle w:val="Heading2"/>
        <w:keepNext/>
      </w:pPr>
      <w:r>
        <w:t>14.6 Il verdetto su Seth: sconfitta dinastica, non annientamento</w:t>
      </w:r>
    </w:p>
    <w:p>
      <w:pPr/>
      <w:r>
        <w:rPr>
          <w:b/>
        </w:rPr>
        <w:t xml:space="preserve">Dato testuale. </w:t>
      </w:r>
      <w:r>
        <w:t>Nelle Contese di Horus e Seth, testo ramesside conservato nel Papiro Chester Beatty I, la lettera di Osiride modifica il corso della decisione: Osiride ricorda la propria potenza e minaccia di liberare messaggeri capaci di impadronirsi dei cuori dei malfattori. Il tribunale dichiara Horus nel giusto; Seth è condotto legato e accetta che la carica sia assegnata a Horus.</w:t>
      </w:r>
    </w:p>
    <w:p>
      <w:pPr/>
      <w:r>
        <w:rPr>
          <w:b/>
        </w:rPr>
        <w:t xml:space="preserve">Esito finale del racconto. </w:t>
      </w:r>
      <w:r>
        <w:t>La sconfitta non si conclude con la morte o la cancellazione di Seth. Ptah domanda che cosa debba esserne; Ra-Harakhti risponde che Seth sarà dato a lui, dimorerà con lui come figlio e farà udire la propria voce nel cielo come tuono. Nel perimetro di questo testo, Seth perde il potere regale conteso ma conserva esistenza, potenza e appartenenza alla sfera solare.</w:t>
      </w:r>
    </w:p>
    <w:p>
      <w:pPr/>
      <w:r>
        <w:rPr>
          <w:b/>
        </w:rPr>
        <w:t xml:space="preserve">Valutazione. </w:t>
      </w:r>
      <w:r>
        <w:t>È improprio dire senza qualifiche che Seth «non fu castigato»: viene legato, sconfitto nella successione e subordinato. È invece documentabile che non viene definitivamente condannato o annientato e che Ra gli riconosce una funzione. La pressione di Osiride sul tribunale è esplicita; non è però dimostrabile che il verdetto dipenda esclusivamente da quella pressione. Grado A per la sequenza narrativa; grado B per la lettura politico-giurisdizionale.</w:t>
      </w:r>
    </w:p>
    <w:p>
      <w:pPr>
        <w:pStyle w:val="Heading2"/>
        <w:keepNext/>
      </w:pPr>
      <w:r>
        <w:t>14.7 Dalla proscrizione tarda al Seth-Tifone di Plutarco</w:t>
      </w:r>
    </w:p>
    <w:p>
      <w:pPr/>
      <w:r>
        <w:rPr>
          <w:b/>
        </w:rPr>
        <w:t xml:space="preserve">Cronologia della proscrizione. </w:t>
      </w:r>
      <w:r>
        <w:t>La condanna radicale appartiene soprattutto a contesti tardi e locali. Il Libro della vittoria su Seth, in età tolemaica, prescrive la degradazione e l’espulsione rituale del dio e dei nemici che egli può rappresentare. Le cancellazioni delle immagini, tuttavia, risultano selettive: a Mut al-Kharab e in altri contesti il culto e figure non danneggiate continuarono a esistere. Non si può quindi retrodatare una demonizzazione uniforme all’intera storia egizia.</w:t>
      </w:r>
    </w:p>
    <w:p>
      <w:pPr/>
      <w:r>
        <w:rPr>
          <w:b/>
        </w:rPr>
        <w:t xml:space="preserve">Mediazione plutarchea. </w:t>
      </w:r>
      <w:r>
        <w:t>Plutarco scrive in età imperiale romana e identifica Seth con Tifone. Il suo trattato non è una trascrizione neutra di un mito faraonico, ma una ricerca filosofico-religiosa che rielabora materiali egizi entro categorie greche e medio-platoniche, trasformando le divinità in principi cosmologici e morali. Nel racconto dell’inganno la motivazione dell’invidia non è espressa; attribuirla a Seth come movente originario non è sostenuto dalle fonti più antiche qui esaminate.</w:t>
      </w:r>
    </w:p>
    <w:p>
      <w:pPr/>
      <w:r>
        <w:rPr>
          <w:b/>
        </w:rPr>
        <w:t xml:space="preserve">“Mistificazione involontaria”. </w:t>
      </w:r>
      <w:r>
        <w:t>L’espressione può essere usata soltanto per descrivere un effetto storico di ricezione: una rappresentazione tarda e filosoficamente rielaborata è stata talvolta scambiata per la forma originaria e unitaria della religione egizia. Non abbiamo elementi per accusare Plutarco di falsificazione deliberata; egli dichiara anzi un metodo interpretativo e una ricerca della verità. È più corretto parlare di mediazione trasformativa divenuta, nelle ricezioni successive, fonte di semplificazione.</w:t>
      </w:r>
    </w:p>
    <w:p>
      <w:pPr/>
      <w:r>
        <w:rPr>
          <w:b/>
        </w:rPr>
        <w:t xml:space="preserve">Nota climatica. </w:t>
      </w:r>
      <w:r>
        <w:t>La paleoclimatologia mostra che l’aridificazione del Sahara fu un processo lungo e complesso e che il sistema nilotico dipendeva anche da precipitazioni esterne all’Egitto. Ciò rende fragile la favola naturalistica di un «deserto senza pioggia» psicologicamente invidioso della valle; non prova, da solo, quale fosse la motivazione religiosa attribuita a Seth.</w:t>
      </w:r>
    </w:p>
    <w:p>
      <w:pPr>
        <w:pStyle w:val="Heading2"/>
        <w:keepNext/>
      </w:pPr>
      <w:r>
        <w:t>14.8 Revisione genealogica e convergenza cumulativa</w:t>
      </w:r>
    </w:p>
    <w:p>
      <w:pPr/>
      <w:r>
        <w:rPr>
          <w:b/>
        </w:rPr>
        <w:t xml:space="preserve">Serie A — via solare e Seth. </w:t>
      </w:r>
      <w:r>
        <w:t>Le fonti attestano una matrice di ascesa verso Ra e le stelle, Seth come difensore della barca contro Apopi, la sua non-eliminazione nel verdetto ramesside e il mantenimento di una funzione nella sfera di Ra.</w:t>
      </w:r>
    </w:p>
    <w:p>
      <w:pPr/>
      <w:r>
        <w:rPr>
          <w:b/>
        </w:rPr>
        <w:t xml:space="preserve">Serie B — ordinamento osiriaco. </w:t>
      </w:r>
      <w:r>
        <w:t>Le fonti attestano Osiride come sovrano dei morti, un tribunale, custodi, formule di accesso e non-restrizione, la capacità di influire sulla decisione e, in testi tardi, rituali di espulsione e distruzione di Seth.</w:t>
      </w:r>
    </w:p>
    <w:p>
      <w:pPr/>
      <w:r>
        <w:rPr>
          <w:b/>
        </w:rPr>
        <w:t xml:space="preserve">Convergenza. </w:t>
      </w:r>
      <w:r>
        <w:t>Nessun singolo testo formula l’intera Filosofia della liberazione cosmica. La concatenazione A+B sostiene però una conclusione funzionale forte: la conoscenza protegge la mobilità della coscienza entro un sistema che può giudicare, assegnare e trattenere; Seth protegge il movimento solare contro la potenza che tenta di arrestarlo. L’estensione da questa funzione alla liberazione delle anime è cumulativa e filosofica, non una citazione egizia letterale.</w:t>
      </w:r>
    </w:p>
    <w:p>
      <w:pPr/>
      <w:r>
        <w:rPr>
          <w:b/>
        </w:rPr>
        <w:t xml:space="preserve">Conseguenza per la storia delle idee. </w:t>
      </w:r>
      <w:r>
        <w:t>Non devono essere rifiutate tutte le filosofie ispirate a Plutarco. Devono essere riesaminate quelle che assumono il dualismo Osiride-bene/Seth-male come fotografia trasparente e originaria dell’Egitto faraonico. La correzione genealogica richiede di risalire oltre Plutarco, distinguere le epoche e reintegrare le funzioni regali, solari, protettive e ambivalenti di Seth.</w:t>
      </w:r>
    </w:p>
    <w:p>
      <w:pPr/>
      <w:r>
        <w:rPr>
          <w:b/>
        </w:rPr>
        <w:t xml:space="preserve">Novità rispetto alle ricerche pubblicate consultate. </w:t>
      </w:r>
      <w:r>
        <w:t>La persistenza del culto, la proscrizione selettiva, la non-morte definitiva, la difesa di Ra e la rielaborazione plutarchea sono già state studiate. Il contributo qui proposto consiste nel collegarle in un’unica sequenza verificabile e nel mostrare come tale sequenza modifichi sia la filosofia della liberazione sia la genealogia delle interpretazioni moderne. È una nuova sintesi argomentativa, non la pretesa di avere scoperto da zero i singoli dati.</w:t>
      </w:r>
    </w:p>
    <w:p>
      <w:pPr>
        <w:pStyle w:val="Heading1"/>
        <w:keepNext/>
        <w:pageBreakBefore/>
      </w:pPr>
      <w:r>
        <w:t>15. Fonti primarie e studi</w:t>
      </w:r>
    </w:p>
    <w:p>
      <w:pPr>
        <w:pStyle w:val="Heading2"/>
        <w:keepNext/>
      </w:pPr>
      <w:r>
        <w:t>15.1 Fonti primarie e corpora</w:t>
      </w:r>
    </w:p>
    <w:p>
      <w:pPr>
        <w:keepLines/>
        <w:widowControl/>
        <w:spacing w:after="100" w:line="259" w:lineRule="auto"/>
      </w:pPr>
      <w:r>
        <w:rPr>
          <w:b/>
        </w:rPr>
        <w:t xml:space="preserve">[P1] James P. Allen, The Ancient Egyptian Pyramid Texts. </w:t>
      </w:r>
      <w:r>
        <w:t xml:space="preserve">PT 213, copie e formule di ascesa. </w:t>
      </w:r>
      <w:hyperlink r:id="rId11">
        <w:r>
          <w:rPr>
            <w:color w:val="2E74B5"/>
            <w:u w:val="single"/>
          </w:rPr>
          <w:t>Apri la fonte</w:t>
        </w:r>
      </w:hyperlink>
    </w:p>
    <w:p>
      <w:pPr>
        <w:keepLines/>
        <w:widowControl/>
        <w:spacing w:after="100" w:line="259" w:lineRule="auto"/>
      </w:pPr>
      <w:r>
        <w:rPr>
          <w:b/>
        </w:rPr>
        <w:t xml:space="preserve">[P2] UCL Digital Egypt, Book of the Dead by number. </w:t>
      </w:r>
      <w:r>
        <w:t xml:space="preserve">Capitoli di uscita, mobilità, porte e navigazione solare. </w:t>
      </w:r>
      <w:hyperlink r:id="rId12">
        <w:r>
          <w:rPr>
            <w:color w:val="2E74B5"/>
            <w:u w:val="single"/>
          </w:rPr>
          <w:t>Apri la fonte</w:t>
        </w:r>
      </w:hyperlink>
    </w:p>
    <w:p>
      <w:pPr>
        <w:keepLines/>
        <w:widowControl/>
        <w:spacing w:after="100" w:line="259" w:lineRule="auto"/>
      </w:pPr>
      <w:r>
        <w:rPr>
          <w:b/>
        </w:rPr>
        <w:t xml:space="preserve">[P3] UCL Digital Egypt, Book of the Dead, chapter 17. </w:t>
      </w:r>
      <w:r>
        <w:t xml:space="preserve">Osiride-Ra, guardiani e conoscenza dei nomi. </w:t>
      </w:r>
      <w:hyperlink r:id="rId13">
        <w:r>
          <w:rPr>
            <w:color w:val="2E74B5"/>
            <w:u w:val="single"/>
          </w:rPr>
          <w:t>Apri la fonte</w:t>
        </w:r>
      </w:hyperlink>
    </w:p>
    <w:p>
      <w:pPr>
        <w:keepLines/>
        <w:widowControl/>
        <w:spacing w:after="100" w:line="259" w:lineRule="auto"/>
      </w:pPr>
      <w:r>
        <w:rPr>
          <w:b/>
        </w:rPr>
        <w:t xml:space="preserve">[P4] Book of the Heavenly Cow / Destruction of Mankind. </w:t>
      </w:r>
      <w:r>
        <w:t xml:space="preserve">Ribellione, violenza, ritiro di Ra e riorganizzazione. </w:t>
      </w:r>
      <w:hyperlink r:id="rId14">
        <w:r>
          <w:rPr>
            <w:color w:val="2E74B5"/>
            <w:u w:val="single"/>
          </w:rPr>
          <w:t>Apri la fonte</w:t>
        </w:r>
      </w:hyperlink>
    </w:p>
    <w:p>
      <w:pPr>
        <w:keepLines/>
        <w:widowControl/>
        <w:spacing w:after="100" w:line="259" w:lineRule="auto"/>
      </w:pPr>
      <w:r>
        <w:rPr>
          <w:b/>
        </w:rPr>
        <w:t xml:space="preserve">[P5] Plutarco, De Iside et Osiride. </w:t>
      </w:r>
      <w:r>
        <w:t xml:space="preserve">Narrazione tarda continua della morte e regalità postuma di Osiride. </w:t>
      </w:r>
      <w:hyperlink r:id="rId15">
        <w:r>
          <w:rPr>
            <w:color w:val="2E74B5"/>
            <w:u w:val="single"/>
          </w:rPr>
          <w:t>Apri la fonte</w:t>
        </w:r>
      </w:hyperlink>
    </w:p>
    <w:p>
      <w:pPr>
        <w:keepLines/>
        <w:widowControl/>
        <w:spacing w:after="100" w:line="259" w:lineRule="auto"/>
      </w:pPr>
      <w:r>
        <w:rPr>
          <w:b/>
        </w:rPr>
        <w:t xml:space="preserve">[P6] Royal Collection Trust, Amduat: the sixth hour. </w:t>
      </w:r>
      <w:r>
        <w:t xml:space="preserve">Rigenerazione di Ra e unione con Osiride. </w:t>
      </w:r>
      <w:hyperlink r:id="rId16">
        <w:r>
          <w:rPr>
            <w:color w:val="2E74B5"/>
            <w:u w:val="single"/>
          </w:rPr>
          <w:t>Apri la fonte</w:t>
        </w:r>
      </w:hyperlink>
    </w:p>
    <w:p>
      <w:pPr>
        <w:keepLines/>
        <w:widowControl/>
        <w:spacing w:after="100" w:line="259" w:lineRule="auto"/>
      </w:pPr>
      <w:r>
        <w:rPr>
          <w:b/>
        </w:rPr>
        <w:t xml:space="preserve">[P7] Origene, Contro Celso, libro VI. </w:t>
      </w:r>
      <w:r>
        <w:t xml:space="preserve">Governanti, porte e formule di passaggio. </w:t>
      </w:r>
      <w:hyperlink r:id="rId17">
        <w:r>
          <w:rPr>
            <w:color w:val="2E74B5"/>
            <w:u w:val="single"/>
          </w:rPr>
          <w:t>Apri la fonte</w:t>
        </w:r>
      </w:hyperlink>
    </w:p>
    <w:p>
      <w:pPr>
        <w:keepLines/>
        <w:widowControl/>
        <w:spacing w:after="100" w:line="259" w:lineRule="auto"/>
      </w:pPr>
      <w:r>
        <w:rPr>
          <w:b/>
        </w:rPr>
        <w:t xml:space="preserve">[P8] Holy Book of the Great Invisible Spirit. </w:t>
      </w:r>
      <w:r>
        <w:t xml:space="preserve">Seth e la stirpe incorruttibile. </w:t>
      </w:r>
      <w:hyperlink r:id="rId18">
        <w:r>
          <w:rPr>
            <w:color w:val="2E74B5"/>
            <w:u w:val="single"/>
          </w:rPr>
          <w:t>Apri la fonte</w:t>
        </w:r>
      </w:hyperlink>
    </w:p>
    <w:p>
      <w:pPr>
        <w:keepLines/>
        <w:widowControl/>
        <w:spacing w:after="100" w:line="259" w:lineRule="auto"/>
      </w:pPr>
      <w:r>
        <w:rPr>
          <w:b/>
        </w:rPr>
        <w:t xml:space="preserve">[P9] Apocryphon of John. </w:t>
      </w:r>
      <w:r>
        <w:t xml:space="preserve">Cosmologia gnostica e governanti cosmici. </w:t>
      </w:r>
      <w:hyperlink r:id="rId19">
        <w:r>
          <w:rPr>
            <w:color w:val="2E74B5"/>
            <w:u w:val="single"/>
          </w:rPr>
          <w:t>Apri la fonte</w:t>
        </w:r>
      </w:hyperlink>
    </w:p>
    <w:p>
      <w:pPr>
        <w:keepLines/>
        <w:widowControl/>
        <w:spacing w:after="100" w:line="259" w:lineRule="auto"/>
      </w:pPr>
      <w:r>
        <w:rPr>
          <w:b/>
        </w:rPr>
        <w:t xml:space="preserve">[P10] Musée du Louvre, Zodiaque de Dendéra. </w:t>
      </w:r>
      <w:r>
        <w:t xml:space="preserve">Datazione del monumento zodiacale al 50 a.C. </w:t>
      </w:r>
      <w:hyperlink r:id="rId20">
        <w:r>
          <w:rPr>
            <w:color w:val="2E74B5"/>
            <w:u w:val="single"/>
          </w:rPr>
          <w:t>Apri la fonte</w:t>
        </w:r>
      </w:hyperlink>
    </w:p>
    <w:p>
      <w:pPr>
        <w:keepLines/>
        <w:widowControl/>
        <w:spacing w:after="100" w:line="259" w:lineRule="auto"/>
      </w:pPr>
      <w:r>
        <w:rPr>
          <w:b/>
        </w:rPr>
        <w:t xml:space="preserve">[P11] Metropolitan Museum of Art, Egypt in the Old Kingdom. </w:t>
      </w:r>
      <w:r>
        <w:t xml:space="preserve">Culti funerari anteriori e crescita del culto di Osiride. </w:t>
      </w:r>
      <w:hyperlink r:id="rId21">
        <w:r>
          <w:rPr>
            <w:color w:val="2E74B5"/>
            <w:u w:val="single"/>
          </w:rPr>
          <w:t>Apri la fonte</w:t>
        </w:r>
      </w:hyperlink>
    </w:p>
    <w:p>
      <w:pPr>
        <w:keepLines/>
        <w:widowControl/>
        <w:spacing w:after="100" w:line="259" w:lineRule="auto"/>
      </w:pPr>
      <w:r>
        <w:rPr>
          <w:b/>
        </w:rPr>
        <w:t xml:space="preserve">[P12] Fitzwilliam Museum, Osiris. </w:t>
      </w:r>
      <w:r>
        <w:t xml:space="preserve">Restaurazione, regalità sui morti e identificazione del defunto. </w:t>
      </w:r>
      <w:hyperlink r:id="rId22">
        <w:r>
          <w:rPr>
            <w:color w:val="2E74B5"/>
            <w:u w:val="single"/>
          </w:rPr>
          <w:t>Apri la fonte</w:t>
        </w:r>
      </w:hyperlink>
    </w:p>
    <w:p>
      <w:pPr>
        <w:keepLines/>
        <w:widowControl/>
        <w:spacing w:after="100" w:line="259" w:lineRule="auto"/>
      </w:pPr>
      <w:r>
        <w:rPr>
          <w:b/>
        </w:rPr>
        <w:t xml:space="preserve">[P13] UCL Digital Egypt, Book of the Dead, chapter 125B. </w:t>
      </w:r>
      <w:r>
        <w:t xml:space="preserve">Confessione negativa e quarantadue valutatori. </w:t>
      </w:r>
      <w:hyperlink r:id="rId23">
        <w:r>
          <w:rPr>
            <w:color w:val="2E74B5"/>
            <w:u w:val="single"/>
          </w:rPr>
          <w:t>Apri la fonte</w:t>
        </w:r>
      </w:hyperlink>
    </w:p>
    <w:p>
      <w:pPr>
        <w:keepLines/>
        <w:widowControl/>
        <w:spacing w:after="100" w:line="259" w:lineRule="auto"/>
      </w:pPr>
      <w:r>
        <w:rPr>
          <w:b/>
        </w:rPr>
        <w:t xml:space="preserve">[P14] R. O. Faulkner, The Ancient Egyptian Coffin Texts, vol. II. </w:t>
      </w:r>
      <w:r>
        <w:t xml:space="preserve">CT 491 e lessico di restrizione. </w:t>
      </w:r>
      <w:hyperlink r:id="rId24">
        <w:r>
          <w:rPr>
            <w:color w:val="2E74B5"/>
            <w:u w:val="single"/>
          </w:rPr>
          <w:t>Apri la fonte</w:t>
        </w:r>
      </w:hyperlink>
    </w:p>
    <w:p>
      <w:pPr>
        <w:keepLines/>
        <w:widowControl/>
        <w:spacing w:after="100" w:line="259" w:lineRule="auto"/>
      </w:pPr>
      <w:r>
        <w:rPr>
          <w:b/>
        </w:rPr>
        <w:t xml:space="preserve">[P17] Adriaan de Buck, The Egyptian Coffin Texts VI. </w:t>
      </w:r>
      <w:r>
        <w:t xml:space="preserve">Facsimili e varianti di CT 491-500. </w:t>
      </w:r>
      <w:hyperlink r:id="rId27">
        <w:r>
          <w:rPr>
            <w:color w:val="2E74B5"/>
            <w:u w:val="single"/>
          </w:rPr>
          <w:t>Apri la fonte</w:t>
        </w:r>
      </w:hyperlink>
    </w:p>
    <w:p>
      <w:pPr>
        <w:keepLines/>
        <w:widowControl/>
        <w:spacing w:after="100" w:line="259" w:lineRule="auto"/>
      </w:pPr>
      <w:r>
        <w:rPr>
          <w:b/>
        </w:rPr>
        <w:t xml:space="preserve">[P18] Apocalypse of Adam. </w:t>
      </w:r>
      <w:r>
        <w:t xml:space="preserve">Seth, rivelazione e recupero della conoscenza. </w:t>
      </w:r>
      <w:hyperlink r:id="rId28">
        <w:r>
          <w:rPr>
            <w:color w:val="2E74B5"/>
            <w:u w:val="single"/>
          </w:rPr>
          <w:t>Apri la fonte</w:t>
        </w:r>
      </w:hyperlink>
    </w:p>
    <w:p>
      <w:pPr>
        <w:keepLines/>
        <w:widowControl/>
        <w:spacing w:after="100" w:line="259" w:lineRule="auto"/>
      </w:pPr>
      <w:r>
        <w:rPr>
          <w:b/>
        </w:rPr>
        <w:t xml:space="preserve">[P19] The Greenfield Papyrus. </w:t>
      </w:r>
      <w:r>
        <w:t xml:space="preserve">Traslitterazione del titolo di BD 91 sulla non-restrizione del ba. </w:t>
      </w:r>
      <w:hyperlink r:id="rId29">
        <w:r>
          <w:rPr>
            <w:color w:val="2E74B5"/>
            <w:u w:val="single"/>
          </w:rPr>
          <w:t>Apri la fonte</w:t>
        </w:r>
      </w:hyperlink>
    </w:p>
    <w:p>
      <w:pPr>
        <w:keepLines/>
        <w:widowControl/>
        <w:spacing w:after="100" w:line="259" w:lineRule="auto"/>
      </w:pPr>
      <w:r>
        <w:rPr>
          <w:b/>
        </w:rPr>
        <w:t xml:space="preserve">[P21] NASSCAL e-Clavis, Books of Jeu. </w:t>
      </w:r>
      <w:r>
        <w:t xml:space="preserve">Datazione, sigilli, nomi e procedure di passaggio. </w:t>
      </w:r>
      <w:hyperlink r:id="rId31">
        <w:r>
          <w:rPr>
            <w:color w:val="2E74B5"/>
            <w:u w:val="single"/>
          </w:rPr>
          <w:t>Apri la fonte</w:t>
        </w:r>
      </w:hyperlink>
    </w:p>
    <w:p>
      <w:pPr/>
      <w:r>
        <w:t>[P22] Papiro Chester Beatty I, Contese di Horus e Seth. Verdetto, legatura di Seth e sua assegnazione finale a Ra. https://viewer.cbl.ie/viewer/image/Pap_1_2/8/LOG_0000/</w:t>
      </w:r>
    </w:p>
    <w:p>
      <w:pPr/>
      <w:r>
        <w:t>[P23] BM EA 10252, Libro della vittoria su Seth. Rituale tolemaico di degradazione ed espulsione di Seth.</w:t>
      </w:r>
    </w:p>
    <w:p>
      <w:pPr>
        <w:pStyle w:val="Heading2"/>
        <w:keepNext/>
      </w:pPr>
      <w:r>
        <w:t>15.2 Studi</w:t>
      </w:r>
    </w:p>
    <w:p>
      <w:pPr>
        <w:keepLines/>
        <w:widowControl/>
        <w:spacing w:after="100" w:line="259" w:lineRule="auto"/>
      </w:pPr>
      <w:r>
        <w:rPr>
          <w:b/>
        </w:rPr>
        <w:t xml:space="preserve">[S1] Nadine Guilhou, “Myth of the Heavenly Cow”. </w:t>
      </w:r>
      <w:r>
        <w:t xml:space="preserve">Quadro storico e funzione etiologica del mito. </w:t>
      </w:r>
      <w:hyperlink r:id="rId32">
        <w:r>
          <w:rPr>
            <w:color w:val="2E74B5"/>
            <w:u w:val="single"/>
          </w:rPr>
          <w:t>Apri la fonte</w:t>
        </w:r>
      </w:hyperlink>
    </w:p>
    <w:p>
      <w:pPr>
        <w:keepLines/>
        <w:widowControl/>
        <w:spacing w:after="100" w:line="259" w:lineRule="auto"/>
      </w:pPr>
      <w:r>
        <w:rPr>
          <w:b/>
        </w:rPr>
        <w:t xml:space="preserve">[S2] Jan Arp-Neumann, “Negating Seth: Destruction as Vitality”. </w:t>
      </w:r>
      <w:r>
        <w:t xml:space="preserve">Distruzione e neutralizzazione rituale di Seth. </w:t>
      </w:r>
      <w:hyperlink r:id="rId33">
        <w:r>
          <w:rPr>
            <w:color w:val="2E74B5"/>
            <w:u w:val="single"/>
          </w:rPr>
          <w:t>Apri la fonte</w:t>
        </w:r>
      </w:hyperlink>
    </w:p>
    <w:p>
      <w:pPr>
        <w:keepLines/>
        <w:widowControl/>
        <w:spacing w:after="100" w:line="259" w:lineRule="auto"/>
      </w:pPr>
      <w:r>
        <w:rPr>
          <w:b/>
        </w:rPr>
        <w:t xml:space="preserve">[S3] Colin A. Hope, “The proscription of Seth revisited”. </w:t>
      </w:r>
      <w:r>
        <w:t xml:space="preserve">Cronologia, selettività e limiti del defacement. </w:t>
      </w:r>
      <w:hyperlink r:id="rId34">
        <w:r>
          <w:rPr>
            <w:color w:val="2E74B5"/>
            <w:u w:val="single"/>
          </w:rPr>
          <w:t>Apri la fonte</w:t>
        </w:r>
      </w:hyperlink>
    </w:p>
    <w:p>
      <w:pPr>
        <w:keepLines/>
        <w:widowControl/>
        <w:spacing w:after="100" w:line="259" w:lineRule="auto"/>
      </w:pPr>
      <w:r>
        <w:rPr>
          <w:b/>
        </w:rPr>
        <w:t xml:space="preserve">[S12] Erin Evans, The Books of Jeu and the Pistis Sophia as Handbooks to Eternity. </w:t>
      </w:r>
      <w:r>
        <w:t xml:space="preserve">Continuità egiziana di porte, custodi, nomi e sigilli. </w:t>
      </w:r>
      <w:hyperlink r:id="rId43">
        <w:r>
          <w:rPr>
            <w:color w:val="2E74B5"/>
            <w:u w:val="single"/>
          </w:rPr>
          <w:t>Apri la fonte</w:t>
        </w:r>
      </w:hyperlink>
    </w:p>
    <w:p>
      <w:pPr>
        <w:keepLines/>
        <w:widowControl/>
        <w:spacing w:after="100" w:line="259" w:lineRule="auto"/>
      </w:pPr>
      <w:r>
        <w:rPr>
          <w:b/>
        </w:rPr>
        <w:t xml:space="preserve">[S13] R. J. Leprohon, “Gatekeepers of This and the Other World”. </w:t>
      </w:r>
      <w:r>
        <w:t xml:space="preserve">Accesso controllato, porte e custodi nell’aldilà. </w:t>
      </w:r>
      <w:hyperlink r:id="rId44">
        <w:r>
          <w:rPr>
            <w:color w:val="2E74B5"/>
            <w:u w:val="single"/>
          </w:rPr>
          <w:t>Apri la fonte</w:t>
        </w:r>
      </w:hyperlink>
    </w:p>
    <w:p>
      <w:pPr>
        <w:keepLines/>
        <w:widowControl/>
        <w:spacing w:after="100" w:line="259" w:lineRule="auto"/>
      </w:pPr>
      <w:r>
        <w:rPr>
          <w:b/>
        </w:rPr>
        <w:t xml:space="preserve">[S14] Mariano Bonanno, “Coffin Texts Spells 94-96 and 488-500”. </w:t>
      </w:r>
      <w:r>
        <w:t xml:space="preserve">CT 491 nel gruppo liturgico e libertà delle componenti personali. </w:t>
      </w:r>
      <w:hyperlink r:id="rId45">
        <w:r>
          <w:rPr>
            <w:color w:val="2E74B5"/>
            <w:u w:val="single"/>
          </w:rPr>
          <w:t>Apri la fonte</w:t>
        </w:r>
      </w:hyperlink>
    </w:p>
    <w:p>
      <w:pPr>
        <w:keepLines/>
        <w:widowControl/>
        <w:spacing w:after="100" w:line="259" w:lineRule="auto"/>
      </w:pPr>
      <w:r>
        <w:rPr>
          <w:b/>
        </w:rPr>
        <w:t xml:space="preserve">[S15] Richard H. Wilkinson, “Anthropomorphic Deities”. </w:t>
      </w:r>
      <w:r>
        <w:t xml:space="preserve">Forme umane, animali, ibride e composite delle divinità. </w:t>
      </w:r>
      <w:hyperlink r:id="rId46">
        <w:r>
          <w:rPr>
            <w:color w:val="2E74B5"/>
            <w:u w:val="single"/>
          </w:rPr>
          <w:t>Apri la fonte</w:t>
        </w:r>
      </w:hyperlink>
    </w:p>
    <w:p>
      <w:pPr>
        <w:keepLines/>
        <w:widowControl/>
        <w:spacing w:after="100" w:line="259" w:lineRule="auto"/>
      </w:pPr>
      <w:r>
        <w:rPr>
          <w:b/>
        </w:rPr>
        <w:t xml:space="preserve">[S16] Susanne Binder, “The Hereafter”. </w:t>
      </w:r>
      <w:r>
        <w:t xml:space="preserve">Amduat, coscienza dei morti e conoscenza come potere. </w:t>
      </w:r>
      <w:hyperlink r:id="rId47">
        <w:r>
          <w:rPr>
            <w:color w:val="2E74B5"/>
            <w:u w:val="single"/>
          </w:rPr>
          <w:t>Apri la fonte</w:t>
        </w:r>
      </w:hyperlink>
    </w:p>
    <w:p>
      <w:pPr>
        <w:keepLines/>
        <w:widowControl/>
        <w:spacing w:after="100" w:line="259" w:lineRule="auto"/>
      </w:pPr>
      <w:r>
        <w:rPr>
          <w:b/>
        </w:rPr>
        <w:t xml:space="preserve">[S17] Lloyd D. Graham, “Which Seth?”. </w:t>
      </w:r>
      <w:r>
        <w:t xml:space="preserve">Distinzione filologica fra Seth egizio, magico e gnostico. </w:t>
      </w:r>
      <w:hyperlink r:id="rId48">
        <w:r>
          <w:rPr>
            <w:color w:val="2E74B5"/>
            <w:u w:val="single"/>
          </w:rPr>
          <w:t>Apri la fonte</w:t>
        </w:r>
      </w:hyperlink>
    </w:p>
    <w:p>
      <w:pPr>
        <w:keepLines/>
        <w:widowControl/>
        <w:spacing w:after="100" w:line="259" w:lineRule="auto"/>
      </w:pPr>
      <w:r>
        <w:rPr>
          <w:b/>
        </w:rPr>
        <w:t xml:space="preserve">[S18] Khaled Hassan, “The Book of the Dead Manuscripts of the Lady Hatnefer”. </w:t>
      </w:r>
      <w:r>
        <w:t xml:space="preserve">Attestazioni e funzione di BD 91. </w:t>
      </w:r>
      <w:hyperlink r:id="rId49">
        <w:r>
          <w:rPr>
            <w:color w:val="2E74B5"/>
            <w:u w:val="single"/>
          </w:rPr>
          <w:t>Apri la fonte</w:t>
        </w:r>
      </w:hyperlink>
    </w:p>
    <w:p>
      <w:pPr>
        <w:keepLines/>
        <w:widowControl/>
        <w:spacing w:after="100" w:line="259" w:lineRule="auto"/>
      </w:pPr>
      <w:r>
        <w:rPr>
          <w:b/>
        </w:rPr>
        <w:t xml:space="preserve">[S20] Foy Scalf, “Book of the Dead”. </w:t>
      </w:r>
      <w:r>
        <w:t xml:space="preserve">Continuità funeraria egizia fino all’età romana. </w:t>
      </w:r>
      <w:hyperlink r:id="rId51">
        <w:r>
          <w:rPr>
            <w:color w:val="2E74B5"/>
            <w:u w:val="single"/>
          </w:rPr>
          <w:t>Apri la fonte</w:t>
        </w:r>
      </w:hyperlink>
    </w:p>
    <w:p>
      <w:pPr>
        <w:keepLines/>
        <w:widowControl/>
        <w:spacing w:after="100" w:line="259" w:lineRule="auto"/>
      </w:pPr>
      <w:r>
        <w:rPr>
          <w:b/>
        </w:rPr>
        <w:t xml:space="preserve">[S21] Erin Evans, Handbooks to Eternity, tesi. </w:t>
      </w:r>
      <w:r>
        <w:t xml:space="preserve">Confronto analitico fra Libro dei Morti e Libri di Jeu. </w:t>
      </w:r>
      <w:hyperlink r:id="rId52">
        <w:r>
          <w:rPr>
            <w:color w:val="2E74B5"/>
            <w:u w:val="single"/>
          </w:rPr>
          <w:t>Apri la fonte</w:t>
        </w:r>
      </w:hyperlink>
    </w:p>
    <w:p>
      <w:pPr>
        <w:keepLines/>
        <w:widowControl/>
        <w:spacing w:after="100" w:line="259" w:lineRule="auto"/>
      </w:pPr>
      <w:r>
        <w:rPr>
          <w:b/>
        </w:rPr>
        <w:t xml:space="preserve">[S22] François Gaudard, “On the ‘Immortality’ of the God Seth”. </w:t>
      </w:r>
      <w:r>
        <w:t xml:space="preserve">Fonti sulla capacità di Seth di non rimanere morto. </w:t>
      </w:r>
      <w:hyperlink r:id="rId53">
        <w:r>
          <w:rPr>
            <w:color w:val="2E74B5"/>
            <w:u w:val="single"/>
          </w:rPr>
          <w:t>Apri la fonte</w:t>
        </w:r>
      </w:hyperlink>
    </w:p>
    <w:p>
      <w:pPr>
        <w:keepLines/>
        <w:widowControl/>
        <w:spacing w:after="100" w:line="259" w:lineRule="auto"/>
      </w:pPr>
      <w:r>
        <w:rPr>
          <w:b/>
        </w:rPr>
        <w:t xml:space="preserve">[S23] Harold M. Hays, “Funerary Rituals (Pharaonic Period)”. </w:t>
      </w:r>
      <w:r>
        <w:t xml:space="preserve">Seth incorporato nel toro sacrificato. </w:t>
      </w:r>
      <w:hyperlink r:id="rId54">
        <w:r>
          <w:rPr>
            <w:color w:val="2E74B5"/>
            <w:u w:val="single"/>
          </w:rPr>
          <w:t>Apri la fonte</w:t>
        </w:r>
      </w:hyperlink>
    </w:p>
    <w:p>
      <w:pPr>
        <w:keepLines/>
        <w:widowControl/>
        <w:spacing w:after="100" w:line="259" w:lineRule="auto"/>
      </w:pPr>
      <w:r>
        <w:rPr>
          <w:b/>
        </w:rPr>
        <w:t xml:space="preserve">[S24] Metropolitan Museum of Art, The Art of Ancient Egypt. </w:t>
      </w:r>
      <w:r>
        <w:t xml:space="preserve">Significato sovrumano delle figure a testa animale. </w:t>
      </w:r>
      <w:hyperlink r:id="rId55">
        <w:r>
          <w:rPr>
            <w:color w:val="2E74B5"/>
            <w:u w:val="single"/>
          </w:rPr>
          <w:t>Apri la fonte</w:t>
        </w:r>
      </w:hyperlink>
    </w:p>
    <w:p>
      <w:pPr/>
      <w:r>
        <w:t>[S39] Miriam Lichtheim, Ancient Egyptian Literature, vol. II. Traduzione e contesto delle Contese di Horus e Seth.</w:t>
      </w:r>
    </w:p>
    <w:p>
      <w:pPr/>
      <w:r>
        <w:t>[S43] Michael Erler e Martin Andreas Stadler (a cura di), Platonismus und spätägyptische Religion. Plutarco, ricezione egizia e quadro medio-platonico.</w:t>
      </w:r>
    </w:p>
    <w:p>
      <w:pPr/>
      <w:r>
        <w:t>[S44] Jessica E. Tierney, Francesco S. R. Pausata e Peter B. deMenocal, «Rainfall Regimes of the Green Sahara». Paleoclima e limiti delle allegorie naturalistiche moderne.</w:t>
      </w:r>
    </w:p>
    <w:p>
      <w:pPr>
        <w:pStyle w:val="Heading2"/>
        <w:keepNext/>
      </w:pPr>
      <w:r>
        <w:t>Nota conclusiva sul valore della prova</w:t>
      </w:r>
    </w:p>
    <w:p>
      <w:pPr>
        <w:widowControl/>
        <w:spacing w:after="0" w:line="276" w:lineRule="auto"/>
      </w:pPr>
      <w:r>
        <w:t>Le fonti antiche sono testi rituali, immagini e oggetti, non trattati sistematici costruiti per rispondere alle domande moderne. La verifica finale non attribuisce agli Egizi una filosofia gnostica già completa: dimostra una tensione storica fra non-sottomissione solare, amministrazione osiriaca, rischio di restrizione e conoscenza capace di aprire la via. La Filosofia della liberazione cosmica nasce dall’interpretazione unitaria di questi dati, mantenendo espliciti i passaggi comparativi.</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Calibri" w:hAnsi="Calibri"/>
        <w:color w:val="5A6470"/>
        <w:sz w:val="17"/>
      </w:rPr>
      <w:t xml:space="preserve">Pagina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360" w:val="left"/>
      </w:tabs>
      <w:spacing w:after="0"/>
      <w:jc w:val="left"/>
    </w:pPr>
    <w:r>
      <w:rPr>
        <w:rFonts w:ascii="Calibri" w:hAnsi="Calibri"/>
        <w:b/>
        <w:color w:val="5A6470"/>
        <w:sz w:val="17"/>
      </w:rPr>
      <w:t>Filosofia della liberazione cosmica</w:t>
    </w:r>
    <w:r>
      <w:tab/>
    </w:r>
    <w:r>
      <w:rPr>
        <w:rFonts w:ascii="Calibri" w:hAnsi="Calibri"/>
        <w:color w:val="5A6470"/>
        <w:sz w:val="17"/>
      </w:rPr>
      <w:t>Verifica storico-filologica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bullet"/>
      <w:lvlText w:val="•"/>
      <w:lvlJc w:val="left"/>
      <w:pPr>
        <w:tabs>
          <w:tab w:val="num" w:pos="540"/>
        </w:tabs>
        <w:ind w:left="720" w:hanging="360"/>
      </w:pPr>
    </w:lvl>
    <w:lvl w:ilvl="1">
      <w:start w:val="1"/>
      <w:numFmt w:val="bullet"/>
      <w:lvlText w:val="–"/>
      <w:lvlJc w:val="left"/>
      <w:pPr>
        <w:tabs>
          <w:tab w:val="num" w:pos="900"/>
        </w:tabs>
        <w:ind w:left="1080" w:hanging="360"/>
      </w:pPr>
    </w:lvl>
  </w:abstractNum>
  <w:num w:numId="10">
    <w:abstractNumId w:val="9"/>
  </w:num>
  <w:abstractNum w:abstractNumId="10">
    <w:multiLevelType w:val="singleLevel"/>
    <w:lvl w:ilvl="0">
      <w:start w:val="1"/>
      <w:numFmt w:val="decimal"/>
      <w:lvlText w:val="%1."/>
      <w:lvlJc w:val="right"/>
      <w:pPr>
        <w:tabs>
          <w:tab w:val="num" w:pos="540"/>
        </w:tabs>
        <w:ind w:left="720" w:hanging="360"/>
      </w:pPr>
    </w:lvl>
  </w:abstractNum>
  <w:num w:numId="11">
    <w:abstractNumId w:val="10"/>
  </w:num>
  <w:abstractNum w:abstractNumId="11">
    <w:multiLevelType w:val="singleLevel"/>
    <w:lvl w:ilvl="0">
      <w:start w:val="1"/>
      <w:numFmt w:val="decimal"/>
      <w:lvlText w:val="%1."/>
      <w:lvlJc w:val="right"/>
      <w:pPr>
        <w:tabs>
          <w:tab w:val="num" w:pos="540"/>
        </w:tabs>
        <w:ind w:left="720" w:hanging="360"/>
      </w:pPr>
    </w:lvl>
  </w:abstractNum>
  <w:num w:numId="12">
    <w:abstractNumId w:val="11"/>
  </w:num>
  <w:abstractNum w:abstractNumId="12">
    <w:multiLevelType w:val="singleLevel"/>
    <w:lvl w:ilvl="0">
      <w:start w:val="1"/>
      <w:numFmt w:val="decimal"/>
      <w:lvlText w:val="%1."/>
      <w:lvlJc w:val="right"/>
      <w:pPr>
        <w:tabs>
          <w:tab w:val="num" w:pos="540"/>
        </w:tabs>
        <w:ind w:left="720" w:hanging="360"/>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300"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rPr>
      <w:rFonts w:ascii="Calibri" w:hAnsi="Calibri"/>
      <w:sz w:val="21"/>
    </w:rPr>
  </w:style>
  <w:style w:type="paragraph" w:styleId="ListBullet2">
    <w:name w:val="List Bullet 2"/>
    <w:basedOn w:val="Normal"/>
    <w:uiPriority w:val="99"/>
    <w:unhideWhenUsed/>
    <w:rsid w:val="00326F90"/>
    <w:pPr>
      <w:numPr>
        <w:numId w:val="2"/>
      </w:numPr>
      <w:spacing w:after="80" w:line="276" w:lineRule="auto"/>
      <w:contextualSpacing/>
    </w:pPr>
    <w:rPr>
      <w:rFonts w:ascii="Calibri" w:hAnsi="Calibri"/>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pPr>
      <w:spacing w:after="80"/>
    </w:pPr>
    <w:rPr>
      <w:rFonts w:ascii="Calibri" w:hAnsi="Calibri"/>
      <w:b/>
      <w:color w:val="2E74B5"/>
      <w:sz w:val="18"/>
    </w:rPr>
  </w:style>
  <w:style w:type="paragraph" w:customStyle="1" w:styleId="Authorline">
    <w:name w:val="Author line"/>
    <w:basedOn w:val="Normal"/>
    <w:pPr>
      <w:spacing w:before="60" w:after="40"/>
    </w:pPr>
    <w:rPr>
      <w:rFonts w:ascii="Aptos" w:hAnsi="Aptos"/>
      <w:b/>
      <w:color w:val="1F4E79"/>
      <w:sz w:val="21"/>
    </w:rPr>
  </w:style>
  <w:style w:type="paragraph" w:customStyle="1" w:styleId="Frontheading">
    <w:name w:val="Front heading"/>
    <w:basedOn w:val="Normal"/>
    <w:pPr>
      <w:keepNext/>
      <w:spacing w:before="200" w:after="80"/>
    </w:pPr>
    <w:rPr>
      <w:rFonts w:ascii="Aptos Display" w:hAnsi="Aptos Display"/>
      <w:b/>
      <w:color w:val="2F7AB5"/>
      <w:sz w:val="28"/>
    </w:rPr>
  </w:style>
  <w:style w:type="paragraph" w:customStyle="1" w:styleId="Frontabstract">
    <w:name w:val="Front abstract"/>
    <w:basedOn w:val="Normal"/>
    <w:pPr>
      <w:spacing w:line="259" w:lineRule="auto" w:after="100"/>
    </w:pPr>
    <w:rPr>
      <w:rFonts w:ascii="Aptos" w:hAnsi="Aptos"/>
      <w:sz w:val="19"/>
    </w:rPr>
  </w:style>
  <w:style w:type="paragraph" w:customStyle="1" w:styleId="Frontkeywords">
    <w:name w:val="Front keywords"/>
    <w:basedOn w:val="Normal"/>
    <w:pPr>
      <w:spacing w:after="140"/>
    </w:pPr>
    <w:rPr>
      <w:rFonts w:ascii="Aptos" w:hAnsi="Aptos"/>
      <w:i/>
      <w:color w:val="5A646E"/>
      <w:sz w:val="18"/>
    </w:rPr>
  </w:style>
  <w:style w:type="paragraph" w:customStyle="1" w:styleId="StaticTOC1">
    <w:name w:val="Static TOC 1"/>
    <w:basedOn w:val="Normal"/>
    <w:pPr>
      <w:keepLines/>
      <w:tabs>
        <w:tab w:pos="8784" w:val="right" w:leader="dot"/>
      </w:tabs>
      <w:spacing w:before="50" w:after="30"/>
      <w:ind w:left="0" w:firstLine="0"/>
    </w:pPr>
    <w:rPr>
      <w:rFonts w:ascii="Aptos" w:hAnsi="Aptos"/>
      <w:b/>
      <w:color w:val="1F4E79"/>
      <w:sz w:val="18"/>
    </w:rPr>
  </w:style>
  <w:style w:type="paragraph" w:customStyle="1" w:styleId="StaticTOC2">
    <w:name w:val="Static TOC 2"/>
    <w:basedOn w:val="Normal"/>
    <w:pPr>
      <w:keepLines/>
      <w:tabs>
        <w:tab w:pos="8784" w:val="right" w:leader="dot"/>
      </w:tabs>
      <w:spacing w:before="0" w:after="30"/>
      <w:ind w:left="403" w:firstLine="0"/>
    </w:pPr>
    <w:rPr>
      <w:rFonts w:ascii="Aptos" w:hAnsi="Aptos"/>
      <w:b w:val="0"/>
      <w:color w:val="5A64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iamcostumes.com/cutters_guides/pdf/the-ancient-egyptian-pyramid-texts-james-p-allen.pdf" TargetMode="External"/><Relationship Id="rId12" Type="http://schemas.openxmlformats.org/officeDocument/2006/relationships/hyperlink" Target="https://www.ucl.ac.uk/museums-static/digitalegypt/literature/religious/bdbynumber.html" TargetMode="External"/><Relationship Id="rId13" Type="http://schemas.openxmlformats.org/officeDocument/2006/relationships/hyperlink" Target="https://www.ucl.ac.uk/museums-static/digitalegypt/literature/religious/bd17.html" TargetMode="External"/><Relationship Id="rId14" Type="http://schemas.openxmlformats.org/officeDocument/2006/relationships/hyperlink" Target="https://mjn.host.cs.st-andrews.ac.uk/egyptian/texts/corpus/pdf/DestructionMankind.pdf" TargetMode="External"/><Relationship Id="rId15" Type="http://schemas.openxmlformats.org/officeDocument/2006/relationships/hyperlink" Target="https://penelope.uchicago.edu/Thayer/E/Roman/Texts/Plutarch/Moralia/Isis_and_Osiris%2A/A.html" TargetMode="External"/><Relationship Id="rId16" Type="http://schemas.openxmlformats.org/officeDocument/2006/relationships/hyperlink" Target="https://www.rct.uk/collection/1145261/amduat-the-sixth-hour" TargetMode="External"/><Relationship Id="rId17" Type="http://schemas.openxmlformats.org/officeDocument/2006/relationships/hyperlink" Target="https://www.newadvent.org/fathers/04166.htm" TargetMode="External"/><Relationship Id="rId18" Type="http://schemas.openxmlformats.org/officeDocument/2006/relationships/hyperlink" Target="https://www.gnosis.org/naghamm/goseqypt.html" TargetMode="External"/><Relationship Id="rId19" Type="http://schemas.openxmlformats.org/officeDocument/2006/relationships/hyperlink" Target="https://www.gnosis.org/naghamm/apocjn-meyer.html" TargetMode="External"/><Relationship Id="rId20" Type="http://schemas.openxmlformats.org/officeDocument/2006/relationships/hyperlink" Target="https://collections.louvre.fr/ark:/53355/cl010028871" TargetMode="External"/><Relationship Id="rId21" Type="http://schemas.openxmlformats.org/officeDocument/2006/relationships/hyperlink" Target="https://www.metmuseum.org/essays/egypt-in-the-old-kingdom-ca-2649-2150-b-c" TargetMode="External"/><Relationship Id="rId22" Type="http://schemas.openxmlformats.org/officeDocument/2006/relationships/hyperlink" Target="https://fitzmuseum.cam.ac.uk/explore-our-collection/highlights/context/stories-and-histories/osiris" TargetMode="External"/><Relationship Id="rId23" Type="http://schemas.openxmlformats.org/officeDocument/2006/relationships/hyperlink" Target="https://www.ucl.ac.uk/museums-static/digitalegypt/literature/religious/bd125b.html" TargetMode="External"/><Relationship Id="rId24" Type="http://schemas.openxmlformats.org/officeDocument/2006/relationships/hyperlink" Target="https://archive.org/stream/TheAncientEgyptianCoffin1/he%20ancient%20Egyptian%20coffin%20texts2_djvu.txt" TargetMode="External"/><Relationship Id="rId25" Type="http://schemas.openxmlformats.org/officeDocument/2006/relationships/hyperlink" Target="https://tutankhamun.griffith.ox.ac.uk/object-records/256k" TargetMode="External"/><Relationship Id="rId26" Type="http://schemas.openxmlformats.org/officeDocument/2006/relationships/hyperlink" Target="https://tutankhamun.griffith.ox.ac.uk/object-records/256hh2" TargetMode="External"/><Relationship Id="rId27" Type="http://schemas.openxmlformats.org/officeDocument/2006/relationships/hyperlink" Target="https://isac.uchicago.edu/sites/default/files/uploads/shared/docs/oip81.pdf" TargetMode="External"/><Relationship Id="rId28" Type="http://schemas.openxmlformats.org/officeDocument/2006/relationships/hyperlink" Target="https://www.gnosis.org/naghamm/adam.html" TargetMode="External"/><Relationship Id="rId29" Type="http://schemas.openxmlformats.org/officeDocument/2006/relationships/hyperlink" Target="https://dokumen.pub/the-greenfield-papyrus-funerary-papyrus-of-a-priestess-at-karnak-temple-c-950-bce-9042948426-9789042948426.html" TargetMode="External"/><Relationship Id="rId30" Type="http://schemas.openxmlformats.org/officeDocument/2006/relationships/hyperlink" Target="https://tutankhamun.griffith.ox.ac.uk/object-cards/taa-i1256k1" TargetMode="External"/><Relationship Id="rId31" Type="http://schemas.openxmlformats.org/officeDocument/2006/relationships/hyperlink" Target="https://www.nasscal.com/e-clavis-christian-apocrypha/books-of-jeu/" TargetMode="External"/><Relationship Id="rId32" Type="http://schemas.openxmlformats.org/officeDocument/2006/relationships/hyperlink" Target="https://escholarship.org/content/qt2vh551hn/qt2vh551hn.pdf" TargetMode="External"/><Relationship Id="rId33" Type="http://schemas.openxmlformats.org/officeDocument/2006/relationships/hyperlink" Target="https://brill.com/view/journals/nu/68/2-3/article-p157_3.xml" TargetMode="External"/><Relationship Id="rId34" Type="http://schemas.openxmlformats.org/officeDocument/2006/relationships/hyperlink" Target="https://www.monash.edu/__data/assets/pdf_file/0004/2231572/Ockinga-22-Hope-pp-273-284.pdf" TargetMode="External"/><Relationship Id="rId35" Type="http://schemas.openxmlformats.org/officeDocument/2006/relationships/hyperlink" Target="https://uni-koeln.de/phil-fak/ifa/zpe/downloads/1994/100pdf/100086.pdf" TargetMode="External"/><Relationship Id="rId36" Type="http://schemas.openxmlformats.org/officeDocument/2006/relationships/hyperlink" Target="https://onlinelibrary.wiley.com/doi/10.1111/maps.12664" TargetMode="External"/><Relationship Id="rId37" Type="http://schemas.openxmlformats.org/officeDocument/2006/relationships/hyperlink" Target="https://discovery.ucl.ac.uk/1430496/" TargetMode="External"/><Relationship Id="rId38" Type="http://schemas.openxmlformats.org/officeDocument/2006/relationships/hyperlink" Target="https://onlinelibrary.wiley.com/doi/10.1111/maps.12120" TargetMode="External"/><Relationship Id="rId39" Type="http://schemas.openxmlformats.org/officeDocument/2006/relationships/hyperlink" Target="https://science.nasa.gov/solar-system/meteors-meteorites/facts/" TargetMode="External"/><Relationship Id="rId40" Type="http://schemas.openxmlformats.org/officeDocument/2006/relationships/hyperlink" Target="https://giza.fas.harvard.edu/pubdocs/502/full/" TargetMode="External"/><Relationship Id="rId41" Type="http://schemas.openxmlformats.org/officeDocument/2006/relationships/hyperlink" Target="https://doi.org/10.1177/0307513319899948" TargetMode="External"/><Relationship Id="rId42" Type="http://schemas.openxmlformats.org/officeDocument/2006/relationships/hyperlink" Target="https://www.jstor.org/stable/j.ctv2xn164f" TargetMode="External"/><Relationship Id="rId43" Type="http://schemas.openxmlformats.org/officeDocument/2006/relationships/hyperlink" Target="https://brill.com/display/title/26910" TargetMode="External"/><Relationship Id="rId44" Type="http://schemas.openxmlformats.org/officeDocument/2006/relationships/hyperlink" Target="https://www.academia.edu/41752116/Gatekeepers_of_This_and_the_Other_World" TargetMode="External"/><Relationship Id="rId45" Type="http://schemas.openxmlformats.org/officeDocument/2006/relationships/hyperlink" Target="https://www.jstor.org/stable/10.13173/zeitdeutmorggese.168.2.0275" TargetMode="External"/><Relationship Id="rId46" Type="http://schemas.openxmlformats.org/officeDocument/2006/relationships/hyperlink" Target="https://escholarship.org/content/qt5s54w4tc/qt5s54w4tc_noSplash_e96f7f392f36a060575de8c0f2d7ac90.pdf" TargetMode="External"/><Relationship Id="rId47" Type="http://schemas.openxmlformats.org/officeDocument/2006/relationships/hyperlink" Target="https://www.academia.edu/121613832/The_Hereafter_Ancient_Egyptian_beliefs_with_special_reference_to_the_Amduat" TargetMode="External"/><Relationship Id="rId48" Type="http://schemas.openxmlformats.org/officeDocument/2006/relationships/hyperlink" Target="https://www.academia.edu/62903370/Which_Seth_Untangling_some_close_homonyms_from_ancient_Egypt_and_the_Near_East" TargetMode="External"/><Relationship Id="rId49" Type="http://schemas.openxmlformats.org/officeDocument/2006/relationships/hyperlink" Target="https://journals.sagepub.com/doi/10.1177/03075133221141908" TargetMode="External"/><Relationship Id="rId50" Type="http://schemas.openxmlformats.org/officeDocument/2006/relationships/hyperlink" Target="https://www.glencairnmuseum.org/newsletter/2018/7/25/headrests-in-glencairns-egyptian-collection-practicality-and-protection" TargetMode="External"/><Relationship Id="rId51" Type="http://schemas.openxmlformats.org/officeDocument/2006/relationships/hyperlink" Target="https://isac.uchicago.edu/sites/default/files/uploads/shared/docs/Research_Archives/Offprint%20-%20Scalf%20-%20Book%20of%20the%20Dead%20-%20OINN%20235.pdf" TargetMode="External"/><Relationship Id="rId52" Type="http://schemas.openxmlformats.org/officeDocument/2006/relationships/hyperlink" Target="https://era.ed.ac.uk/bitstream/handle/1842/9438/Evans2012.pdf" TargetMode="External"/><Relationship Id="rId53" Type="http://schemas.openxmlformats.org/officeDocument/2006/relationships/hyperlink" Target="https://www.academia.edu/144576848/_On_the_Immortality_of_the_God_Seth_in_Illuminating_Osiris_Egyptological_Studies_in_Honor_of_Mark_Smith_ed_by_R_Jasnow_and_G_Widmer_pp_93_98_Material_and_Visual_Culture_of_Ancient_Egypt_2_Atlanta_Lockwood_Press_2017" TargetMode="External"/><Relationship Id="rId54" Type="http://schemas.openxmlformats.org/officeDocument/2006/relationships/hyperlink" Target="https://escholarship.org/content/qt1r32g9zn/qt1r32g9zn_noSplash_439b03f7ca02e9ff44ecb355bf4f037d.pdf" TargetMode="External"/><Relationship Id="rId55" Type="http://schemas.openxmlformats.org/officeDocument/2006/relationships/hyperlink" Target="https://resources.metmuseum.org/resources/metpublications/pdf/The_Art_of_Ancient_Egypt_A_Resource_for_Educat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 storico-filologica della Filosofia della liberazione cosmica</dc:title>
  <dc:subject>Versione accademica consolidata con verdetto su Seth, ricezione plutarchea e revisione genealogica</dc:subject>
  <dc:creator>Riccardo Rolando</dc:creator>
  <cp:keywords>Seth; Osiride; Ra; Plutarco; ricezione; giudizio; proscrizione; gnosi</cp:keywords>
  <dc:description>Autore: Riccardo Rolando. Contatto: r.rolando@outlook.com.</dc:description>
  <cp:lastModifiedBy>Riccardo Rolando</cp:lastModifiedBy>
  <cp:revision>1</cp:revision>
  <dcterms:created xsi:type="dcterms:W3CDTF">2013-12-23T23:15:00Z</dcterms:created>
  <dcterms:modified xsi:type="dcterms:W3CDTF">2026-08-21T22:00:00Z</dcterms:modified>
  <cp:category/>
</cp:coreProperties>
</file>