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Hipótesis cosmológica</w:t>
      </w:r>
    </w:p>
    <w:p>
      <w:pPr>
        <w:jc w:val="center"/>
      </w:pPr>
      <w:r>
        <w:t>Modelo especulativo separado de la demostración histórico-filológica</w:t>
      </w:r>
    </w:p>
    <w:p>
      <w:pPr>
        <w:jc w:val="center"/>
      </w:pPr>
      <w:r>
        <w:t>Edición de trabajo — 7 de septiembre de 2026</w:t>
      </w:r>
    </w:p>
    <w:p/>
    <w:p>
      <w:pPr>
        <w:pStyle w:val="Heading1"/>
      </w:pPr>
      <w:r>
        <w:t>Leyenda de los niveles de evidencia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D9E2F3"/>
          </w:tcPr>
          <w:p>
            <w:r>
              <w:t>Nivel</w:t>
            </w:r>
          </w:p>
        </w:tc>
        <w:tc>
          <w:tcPr>
            <w:tcW w:type="dxa" w:w="4896"/>
            <w:shd w:fill="D9E2F3"/>
          </w:tcPr>
          <w:p>
            <w:r>
              <w:t>Uso en el documento</w:t>
            </w:r>
          </w:p>
        </w:tc>
      </w:tr>
      <w:tr>
        <w:tc>
          <w:tcPr>
            <w:tcW w:type="dxa" w:w="4896"/>
          </w:tcPr>
          <w:p>
            <w:r>
              <w:t>A — atestiguado</w:t>
            </w:r>
          </w:p>
        </w:tc>
        <w:tc>
          <w:tcPr>
            <w:tcW w:type="dxa" w:w="4896"/>
          </w:tcPr>
          <w:p>
            <w:r>
              <w:t>Dato documentado directamente por textos, arqueología o estudios egiptológicos fiables.</w:t>
            </w:r>
          </w:p>
        </w:tc>
      </w:tr>
      <w:tr>
        <w:tc>
          <w:tcPr>
            <w:tcW w:type="dxa" w:w="4896"/>
          </w:tcPr>
          <w:p>
            <w:r>
              <w:t>B — reconstrucción</w:t>
            </w:r>
          </w:p>
        </w:tc>
        <w:tc>
          <w:tcPr>
            <w:tcW w:type="dxa" w:w="4896"/>
          </w:tcPr>
          <w:p>
            <w:r>
              <w:t>Inferencia histórico-filológica construida comparando cronología, variantes y estratificación de las fuentes.</w:t>
            </w:r>
          </w:p>
        </w:tc>
      </w:tr>
      <w:tr>
        <w:tc>
          <w:tcPr>
            <w:tcW w:type="dxa" w:w="4896"/>
          </w:tcPr>
          <w:p>
            <w:r>
              <w:t>C — hipótesis cosmológica</w:t>
            </w:r>
          </w:p>
        </w:tc>
        <w:tc>
          <w:tcPr>
            <w:tcW w:type="dxa" w:w="4896"/>
          </w:tcPr>
          <w:p>
            <w:r>
              <w:t>Interpretación metafísica o cosmológica: no se presenta como un hecho histórico demostrado.</w:t>
            </w:r>
          </w:p>
        </w:tc>
      </w:tr>
    </w:tbl>
    <w:p>
      <w:pPr>
        <w:pStyle w:val="Heading1"/>
      </w:pPr>
      <w:r>
        <w:t>Advertencia metodológica</w:t>
      </w:r>
    </w:p>
    <w:p>
      <w:r>
        <w:t>Este documento reúne exclusivamente el nivel C del proyecto. Las correspondencias con los textos egipcios se utilizan como elementos de comparación, no como prueba científica de civilizaciones extraterrestres, dimensiones superiores o tecnologías post mortem.</w:t>
      </w:r>
    </w:p>
    <w:p>
      <w:pPr>
        <w:pStyle w:val="Heading1"/>
      </w:pPr>
      <w:r>
        <w:t>1. Escenario</w:t>
      </w:r>
    </w:p>
    <w:p>
      <w:r>
        <w:t>[C] Una civilización originaria habría creado o modificado al ser humano y gestionado la continuidad post mortem mediante un proceso de recomposición de los componentes personales. El destino último se plantea como un nivel cósmico superior, denominado en el proyecto Pleroma/novena dimensión.</w:t>
      </w:r>
    </w:p>
    <w:p>
      <w:pPr>
        <w:pStyle w:val="Heading1"/>
      </w:pPr>
      <w:r>
        <w:t>2. Sistema original</w:t>
      </w:r>
    </w:p>
    <w:p>
      <w:r>
        <w:t>[C] Horus y Set se interpretan como potencias funcionales del sistema; Neftis, como agente de recomposición; Ra, como referencia del destino celeste. El sistema no requiere un soberano único del más allá.</w:t>
      </w:r>
    </w:p>
    <w:p>
      <w:pPr>
        <w:pStyle w:val="Heading1"/>
      </w:pPr>
      <w:r>
        <w:t>3. Intervención osiríaca</w:t>
      </w:r>
    </w:p>
    <w:p>
      <w:r>
        <w:t>[C] Osiris se interpreta como una potencia competidora que, tras el enfrentamiento con Set, obtiene control no necesariamente mediante una victoria militar, sino mediante la reestructuración del ciclo muerte–regeneración y de la legitimidad dinástica.</w:t>
      </w:r>
    </w:p>
    <w:p>
      <w:pPr>
        <w:pStyle w:val="Heading1"/>
      </w:pPr>
      <w:r>
        <w:t>4. El doble dominio</w:t>
      </w:r>
    </w:p>
    <w:p>
      <w:r>
        <w:t>[C] La nueva arquitectura propuesta es: Osiris gobierna el dominio de los muertos; Isis asegura la transmisión de la línea; Horus, redefinido como hijo/heredero, lleva la nueva legitimidad al mundo de los vivos. Set queda excluido del sistema o transformado en su enemigo.</w:t>
      </w:r>
    </w:p>
    <w:p>
      <w:pPr>
        <w:pStyle w:val="Heading1"/>
      </w:pPr>
      <w:r>
        <w:t>5. La metáfora de Othello</w:t>
      </w:r>
    </w:p>
    <w:p>
      <w:r>
        <w:t>[C/B] N mantiene su identificador, pero se convierte en «Osiris N»: en la metáfora, la pieza conserva el nombre pero cambia de campo. La documentación respalda la fórmula ritual; la interpretación como «cambio de propiedad» pertenece al modelo cosmológico.</w:t>
      </w:r>
    </w:p>
    <w:p>
      <w:pPr>
        <w:pStyle w:val="Heading1"/>
      </w:pPr>
      <w:r>
        <w:t>6. Predicciones verificables</w:t>
      </w:r>
    </w:p>
    <w:p>
      <w:pPr>
        <w:pStyle w:val="ListBullet"/>
      </w:pPr>
      <w:r>
        <w:t>Deberían existir rastros textuales de un sistema post mortem funcional anterior a la centralidad de Osiris — dato ya documentado.</w:t>
      </w:r>
    </w:p>
    <w:p>
      <w:pPr>
        <w:pStyle w:val="ListBullet"/>
      </w:pPr>
      <w:r>
        <w:t>Deberían sobrevivir funciones positivas de Set incompatibles con su demonización — dato documentado.</w:t>
      </w:r>
    </w:p>
    <w:p>
      <w:pPr>
        <w:pStyle w:val="ListBullet"/>
      </w:pPr>
      <w:r>
        <w:t>Deberían aparecer contradicciones genealógicas durante la transición — dato documentado.</w:t>
      </w:r>
    </w:p>
    <w:p>
      <w:pPr>
        <w:pStyle w:val="ListBullet"/>
      </w:pPr>
      <w:r>
        <w:t>Debería poder mostrarse un crecimiento cronológico de la mediación osiríaca y de la justificación — documentado en buena medida.</w:t>
      </w:r>
    </w:p>
    <w:p>
      <w:pPr>
        <w:pStyle w:val="ListBullet"/>
      </w:pPr>
      <w:r>
        <w:t>Las afirmaciones extraterrestres o dimensionales requerirían, en cambio, pruebas independientes que hoy no aportan los textos egipcios.</w:t>
      </w:r>
    </w:p>
    <w:p>
      <w:pPr>
        <w:pStyle w:val="Heading1"/>
      </w:pPr>
      <w:r>
        <w:t>Referencias esenciales</w:t>
      </w:r>
    </w:p>
    <w:p>
      <w:pPr>
        <w:pStyle w:val="ListBullet"/>
      </w:pPr>
      <w:r>
        <w:rPr>
          <w:b/>
        </w:rPr>
        <w:t xml:space="preserve">Allen, James P., The Ancient Egyptian Pyramid Texts. Society of Biblical Literature, 2005/2006. </w:t>
      </w:r>
      <w:r>
        <w:t>https://openlibrary.org/books/OL22723869M/The_ancient_Egyptian_pyramid_texts</w:t>
      </w:r>
    </w:p>
    <w:p>
      <w:pPr>
        <w:pStyle w:val="ListBullet"/>
      </w:pPr>
      <w:r>
        <w:rPr>
          <w:b/>
        </w:rPr>
        <w:t xml:space="preserve">Smith, Mark, Following Osiris: Perspectives on the Osirian Afterlife from Four Millennia. Oxford University Press, 2017. </w:t>
      </w:r>
      <w:r>
        <w:t>https://academic.oup.com/book/6025</w:t>
      </w:r>
    </w:p>
    <w:p>
      <w:pPr>
        <w:pStyle w:val="ListBullet"/>
      </w:pPr>
      <w:r>
        <w:rPr>
          <w:b/>
        </w:rPr>
        <w:t xml:space="preserve">Mathieu, Bernard, Horus : polysémie et métamorphoses. ENiM 6 (2013), pp. 1–26. </w:t>
      </w:r>
      <w:r>
        <w:t>https://www.enim-egyptologie.fr/revue/2013/1/Mathieu_ENIM6_p1-26.pdf</w:t>
      </w:r>
    </w:p>
    <w:p>
      <w:pPr>
        <w:pStyle w:val="ListBullet"/>
      </w:pPr>
      <w:r>
        <w:rPr>
          <w:b/>
        </w:rPr>
        <w:t xml:space="preserve">Turner, Philip John, Seth – A Misrepresented God in the Ancient Egyptian Pantheon?. University of Manchester PhD, 2012. </w:t>
      </w:r>
      <w:r>
        <w:t>https://research.manchester.ac.uk/en/studentTheses/seth-a-misrepresented-god-in-the-ancient-egyptian-pantheon/</w:t>
      </w:r>
    </w:p>
    <w:p>
      <w:pPr>
        <w:pStyle w:val="ListBullet"/>
      </w:pPr>
      <w:r>
        <w:rPr>
          <w:b/>
        </w:rPr>
        <w:t xml:space="preserve">UCL Digital Egypt, Ancient Egyptian religious and funerary texts. University College London. </w:t>
      </w:r>
      <w:r>
        <w:t>https://www.ucl.ac.uk/museums-static/digitalegypt/</w:t>
      </w:r>
    </w:p>
    <w:p>
      <w:pPr>
        <w:pStyle w:val="ListBullet"/>
      </w:pPr>
      <w:r>
        <w:rPr>
          <w:b/>
        </w:rPr>
        <w:t xml:space="preserve">The Metropolitan Museum of Art, Egyptian art and religion essays/collection notes. The Met. </w:t>
      </w:r>
      <w:r>
        <w:t>https://www.metmuseum.org/art/collection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Hipótesis cosmológica — Set the Truth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vidence">
    <w:name w:val="Evidence"/>
    <w:rPr>
      <w:rFonts w:ascii="Aptos" w:hAnsi="Aptos"/>
      <w:i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Set the Truth — edición española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