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La verità su Set</w:t>
      </w:r>
    </w:p>
    <w:p>
      <w:pPr>
        <w:jc w:val="center"/>
      </w:pPr>
      <w:r>
        <w:rPr>
          <w:i/>
          <w:sz w:val="22"/>
        </w:rPr>
        <w:t>Dossier storico-filologico sulla trasformazione della figura di Seth/Set</w:t>
      </w:r>
    </w:p>
    <w:p>
      <w:pPr>
        <w:jc w:val="center"/>
      </w:pPr>
      <w:r>
        <w:rPr>
          <w:sz w:val="18"/>
        </w:rPr>
        <w:t>Edizione di lavoro — 6 settembre 2026</w:t>
      </w:r>
    </w:p>
    <w:p/>
    <w:p>
      <w:pPr>
        <w:pStyle w:val="Heading1"/>
      </w:pPr>
      <w:r>
        <w:t>Legenda dei livelli di evidenza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D9E2F3"/>
          </w:tcPr>
          <w:p>
            <w:r>
              <w:t>Livello</w:t>
            </w:r>
          </w:p>
        </w:tc>
        <w:tc>
          <w:tcPr>
            <w:tcW w:type="dxa" w:w="4896"/>
            <w:shd w:fill="D9E2F3"/>
          </w:tcPr>
          <w:p>
            <w:r>
              <w:t>Uso nel documento</w:t>
            </w:r>
          </w:p>
        </w:tc>
      </w:tr>
      <w:tr>
        <w:tc>
          <w:tcPr>
            <w:tcW w:type="dxa" w:w="4896"/>
          </w:tcPr>
          <w:p>
            <w:r>
              <w:t>A — attestato</w:t>
            </w:r>
          </w:p>
        </w:tc>
        <w:tc>
          <w:tcPr>
            <w:tcW w:type="dxa" w:w="4896"/>
          </w:tcPr>
          <w:p>
            <w:r>
              <w:t>Dato direttamente documentato da testi, archeologia o studi egittologici affidabili.</w:t>
            </w:r>
          </w:p>
        </w:tc>
      </w:tr>
      <w:tr>
        <w:tc>
          <w:tcPr>
            <w:tcW w:type="dxa" w:w="4896"/>
          </w:tcPr>
          <w:p>
            <w:r>
              <w:t>B — ricostruzione</w:t>
            </w:r>
          </w:p>
        </w:tc>
        <w:tc>
          <w:tcPr>
            <w:tcW w:type="dxa" w:w="4896"/>
          </w:tcPr>
          <w:p>
            <w:r>
              <w:t>Inferenza storico-filologica costruita confrontando cronologia, varianti e stratificazione delle fonti.</w:t>
            </w:r>
          </w:p>
        </w:tc>
      </w:tr>
      <w:tr>
        <w:tc>
          <w:tcPr>
            <w:tcW w:type="dxa" w:w="4896"/>
          </w:tcPr>
          <w:p>
            <w:r>
              <w:t>C — ipotesi cosmologica</w:t>
            </w:r>
          </w:p>
        </w:tc>
        <w:tc>
          <w:tcPr>
            <w:tcW w:type="dxa" w:w="4896"/>
          </w:tcPr>
          <w:p>
            <w:r>
              <w:t>Interpretazione metafisica o cosmologica: non presentata come fatto storico dimostrato.</w:t>
            </w:r>
          </w:p>
        </w:tc>
      </w:tr>
    </w:tbl>
    <w:p>
      <w:pPr>
        <w:pStyle w:val="Heading1"/>
      </w:pPr>
      <w:r>
        <w:t>Tesi centrale</w:t>
      </w:r>
    </w:p>
    <w:p>
      <w:r>
        <w:t>La rappresentazione di Set come principio intrinsecamente malvagio non descrive l’intera storia della divinità. Gli strati più antichi e le tradizioni regali e funerarie conservano funzioni positive, necessarie e talvolta complementari a Horus. La successiva teologia osiriaca riorganizza questo materiale, facendo di Set l’aggressore di Osiride e l’avversario dinastico di Horus.</w:t>
      </w:r>
    </w:p>
    <w:p>
      <w:pPr>
        <w:pStyle w:val="Heading1"/>
      </w:pPr>
      <w:r>
        <w:t>1. Set prima della piena osirizzazione</w:t>
      </w:r>
    </w:p>
    <w:p>
      <w:pPr>
        <w:pStyle w:val="ListBullet"/>
      </w:pPr>
      <w:r>
        <w:t>[A] Set è attestato molto presto e possiede un centro cultuale a Nubt/Naqada; la sua presenza precede la piena attestazione di Osiride.</w:t>
      </w:r>
    </w:p>
    <w:p>
      <w:pPr>
        <w:pStyle w:val="ListBullet"/>
      </w:pPr>
      <w:r>
        <w:t>[A] Horus e Set compaiono come coppia regale e come rivali; alcuni testi conservano una relazione di fratellanza e una mutilazione reciproca, non un rapporto unidirezionale criminale-vittima.</w:t>
      </w:r>
    </w:p>
    <w:p>
      <w:pPr>
        <w:pStyle w:val="ListBullet"/>
      </w:pPr>
      <w:r>
        <w:t>[A] Set può trasmettere forza al sovrano, partecipare alla protezione, all’elevazione e al passaggio del morto verso il cielo.</w:t>
      </w:r>
    </w:p>
    <w:p>
      <w:pPr>
        <w:pStyle w:val="ListBullet"/>
      </w:pPr>
      <w:r>
        <w:t>[A] La “scala di Set” e la cooperazione Horus–Set mostrano che Set non era originariamente soltanto un ostacolo al destino post mortem.</w:t>
      </w:r>
    </w:p>
    <w:p>
      <w:pPr>
        <w:pStyle w:val="Heading1"/>
      </w:pPr>
      <w:r>
        <w:t>2. La riformulazione osiriaca</w:t>
      </w:r>
    </w:p>
    <w:p>
      <w:r>
        <w:t>[A/B] Le attestazioni sicure di Osiride diventano visibili nella V dinastia. Nei Pyramid Texts si conservano contemporaneamente tradizioni incompatibili: Horus e Set come fratelli; Set come zio di Horus; Set ausiliario; Set aggressore di Osiride. La coesistenza è compatibile con una sovrapposizione di sistemi teologici differenti.</w:t>
      </w:r>
    </w:p>
    <w:p>
      <w:r>
        <w:t>[B] La lettura più economica è che un antico conflitto Horus–Set sia stato incorporato nella genealogia osiriaca: Horus diventa figlio ed erede di Osiride; Set diventa fratello/aggressore di Osiride. Il vecchio conflitto fra due potenze comparabili viene reinterpretato come vendetta e successione legittima.</w:t>
      </w:r>
    </w:p>
    <w:p>
      <w:pPr>
        <w:pStyle w:val="Heading1"/>
      </w:pPr>
      <w:r>
        <w:t>3. Funzione funeraria di Set</w:t>
      </w:r>
    </w:p>
    <w:p>
      <w:r>
        <w:t>La ricerca non sostiene che Set fosse un “re dei morti” predecessore di Osiride. Sostiene invece una tesi più precisa: prima della centralizzazione osiriaca il destino post mortem appare distribuito fra più divinità. Set è una delle potenze operative in questo sistema, soprattutto per forza, protezione ed elevazione.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2F2F2"/>
          </w:tcPr>
          <w:p>
            <w:r>
              <w:rPr>
                <w:b/>
              </w:rPr>
              <w:t xml:space="preserve">Formula di sintesi — </w:t>
            </w:r>
            <w:r>
              <w:t>Set non era “il vecchio Osiride”. Era una potenza necessaria in un sistema funerario non centralizzato, che la riforma osiriaca avrebbe successivamente subordinato e reinterpretato.</w:t>
            </w:r>
          </w:p>
        </w:tc>
      </w:tr>
    </w:tbl>
    <w:p>
      <w:pPr>
        <w:pStyle w:val="Heading1"/>
      </w:pPr>
      <w:r>
        <w:t>4. Demonizzazione: cronologia e cautela</w:t>
      </w:r>
    </w:p>
    <w:p>
      <w:r>
        <w:t>La negativizzazione di Set non è lineare: il dio conserva prestigio in periodi successivi, in particolare nel Delta, nel periodo ramesside e nel rapporto con la potenza militare. Una storia corretta deve quindi parlare di oscillazione, riformulazione e demonizzazione progressiva, non di un’unica “caduta” immediata.</w:t>
      </w:r>
    </w:p>
    <w:p>
      <w:pPr>
        <w:pStyle w:val="Heading1"/>
      </w:pPr>
      <w:r>
        <w:t>5. Punti da non confondere</w:t>
      </w:r>
    </w:p>
    <w:p>
      <w:pPr>
        <w:pStyle w:val="ListBullet"/>
      </w:pPr>
      <w:r>
        <w:t>“Set = male” è una semplificazione tarda, non una descrizione sufficiente degli strati più antichi.</w:t>
      </w:r>
    </w:p>
    <w:p>
      <w:pPr>
        <w:pStyle w:val="ListBullet"/>
      </w:pPr>
      <w:r>
        <w:t>“Set = dio della morte” non è attestato come titolo o funzione originaria centrale.</w:t>
      </w:r>
    </w:p>
    <w:p>
      <w:pPr>
        <w:pStyle w:val="ListBullet"/>
      </w:pPr>
      <w:r>
        <w:t>L’ipotesi cosmologica può utilizzare la trasformazione storica, ma non deve essere presentata come prova dell’origine extraterrestre dei personaggi.</w:t>
      </w:r>
    </w:p>
    <w:p>
      <w:pPr>
        <w:pStyle w:val="Heading1"/>
      </w:pPr>
      <w:r>
        <w:t>Riferimenti essenziali</w:t>
      </w:r>
    </w:p>
    <w:p>
      <w:pPr>
        <w:pStyle w:val="ListBullet"/>
      </w:pPr>
      <w:r>
        <w:rPr>
          <w:b/>
        </w:rPr>
        <w:t xml:space="preserve">Allen, James P., The Ancient Egyptian Pyramid Texts. Society of Biblical Literature, 2005/2006. </w:t>
      </w:r>
      <w:r>
        <w:t>https://openlibrary.org/books/OL22723869M/The_ancient_Egyptian_pyramid_texts</w:t>
      </w:r>
    </w:p>
    <w:p>
      <w:pPr>
        <w:pStyle w:val="ListBullet"/>
      </w:pPr>
      <w:r>
        <w:rPr>
          <w:b/>
        </w:rPr>
        <w:t xml:space="preserve">Smith, Mark, Following Osiris: Perspectives on the Osirian Afterlife from Four Millennia. Oxford University Press, 2017. </w:t>
      </w:r>
      <w:r>
        <w:t>https://academic.oup.com/book/6025</w:t>
      </w:r>
    </w:p>
    <w:p>
      <w:pPr>
        <w:pStyle w:val="ListBullet"/>
      </w:pPr>
      <w:r>
        <w:rPr>
          <w:b/>
        </w:rPr>
        <w:t xml:space="preserve">Mathieu, Bernard, Horus : polysémie et métamorphoses. ENiM 6 (2013), pp. 1–26. </w:t>
      </w:r>
      <w:r>
        <w:t>https://www.enim-egyptologie.fr/revue/2013/1/Mathieu_ENIM6_p1-26.pdf</w:t>
      </w:r>
    </w:p>
    <w:p>
      <w:pPr>
        <w:pStyle w:val="ListBullet"/>
      </w:pPr>
      <w:r>
        <w:rPr>
          <w:b/>
        </w:rPr>
        <w:t xml:space="preserve">Turner, Philip John, Seth – A Misrepresented God in the Ancient Egyptian Pantheon?. University of Manchester PhD, 2012. </w:t>
      </w:r>
      <w:r>
        <w:t>https://research.manchester.ac.uk/en/studentTheses/seth-a-misrepresented-god-in-the-ancient-egyptian-pantheon/</w:t>
      </w:r>
    </w:p>
    <w:p>
      <w:pPr>
        <w:pStyle w:val="ListBullet"/>
      </w:pPr>
      <w:r>
        <w:rPr>
          <w:b/>
        </w:rPr>
        <w:t xml:space="preserve">UCL Digital Egypt, Ancient Egyptian religious and funerary texts. University College London. </w:t>
      </w:r>
      <w:r>
        <w:t>https://www.ucl.ac.uk/museums-static/digitalegypt/</w:t>
      </w:r>
    </w:p>
    <w:p>
      <w:pPr>
        <w:pStyle w:val="ListBullet"/>
      </w:pPr>
      <w:r>
        <w:rPr>
          <w:b/>
        </w:rPr>
        <w:t xml:space="preserve">The Metropolitan Museum of Art, Egyptian art and religion essays/collection notes. The Met. </w:t>
      </w:r>
      <w:r>
        <w:t>https://www.metmuseum.org/art/collection</w:t>
      </w:r>
    </w:p>
    <w:sectPr w:rsidR="00FC693F" w:rsidRPr="0006063C" w:rsidSect="00034616">
      <w:footerReference w:type="default" r:id="rId9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La verità su Set — Set the Truth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vidence">
    <w:name w:val="Evidence"/>
    <w:rPr>
      <w:rFonts w:ascii="Aptos" w:hAnsi="Aptos"/>
      <w:i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