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Le cuciture della riscrittura</w:t>
      </w:r>
    </w:p>
    <w:p>
      <w:pPr>
        <w:jc w:val="center"/>
      </w:pPr>
      <w:r>
        <w:rPr>
          <w:i/>
          <w:sz w:val="22"/>
        </w:rPr>
        <w:t>Contraddizioni e sovrapposizioni che rivelano strati teologici differenti</w:t>
      </w:r>
    </w:p>
    <w:p>
      <w:pPr>
        <w:jc w:val="center"/>
      </w:pPr>
      <w:r>
        <w:rPr>
          <w:sz w:val="18"/>
        </w:rPr>
        <w:t>Edizione di lavoro — 6 settembre 2026</w:t>
      </w:r>
    </w:p>
    <w:p/>
    <w:p>
      <w:pPr>
        <w:pStyle w:val="Heading1"/>
      </w:pPr>
      <w:r>
        <w:t>Legenda dei livelli di evidenza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D9E2F3"/>
          </w:tcPr>
          <w:p>
            <w:r>
              <w:t>Livello</w:t>
            </w:r>
          </w:p>
        </w:tc>
        <w:tc>
          <w:tcPr>
            <w:tcW w:type="dxa" w:w="4896"/>
            <w:shd w:fill="D9E2F3"/>
          </w:tcPr>
          <w:p>
            <w:r>
              <w:t>Uso nel documento</w:t>
            </w:r>
          </w:p>
        </w:tc>
      </w:tr>
      <w:tr>
        <w:tc>
          <w:tcPr>
            <w:tcW w:type="dxa" w:w="4896"/>
          </w:tcPr>
          <w:p>
            <w:r>
              <w:t>A — attestato</w:t>
            </w:r>
          </w:p>
        </w:tc>
        <w:tc>
          <w:tcPr>
            <w:tcW w:type="dxa" w:w="4896"/>
          </w:tcPr>
          <w:p>
            <w:r>
              <w:t>Dato direttamente documentato da testi, archeologia o studi egittologici affidabili.</w:t>
            </w:r>
          </w:p>
        </w:tc>
      </w:tr>
      <w:tr>
        <w:tc>
          <w:tcPr>
            <w:tcW w:type="dxa" w:w="4896"/>
          </w:tcPr>
          <w:p>
            <w:r>
              <w:t>B — ricostruzione</w:t>
            </w:r>
          </w:p>
        </w:tc>
        <w:tc>
          <w:tcPr>
            <w:tcW w:type="dxa" w:w="4896"/>
          </w:tcPr>
          <w:p>
            <w:r>
              <w:t>Inferenza storico-filologica costruita confrontando cronologia, varianti e stratificazione delle fonti.</w:t>
            </w:r>
          </w:p>
        </w:tc>
      </w:tr>
      <w:tr>
        <w:tc>
          <w:tcPr>
            <w:tcW w:type="dxa" w:w="4896"/>
          </w:tcPr>
          <w:p>
            <w:r>
              <w:t>C — ipotesi cosmologica</w:t>
            </w:r>
          </w:p>
        </w:tc>
        <w:tc>
          <w:tcPr>
            <w:tcW w:type="dxa" w:w="4896"/>
          </w:tcPr>
          <w:p>
            <w:r>
              <w:t>Interpretazione metafisica o cosmologica: non presentata come fatto storico dimostrato.</w:t>
            </w:r>
          </w:p>
        </w:tc>
      </w:tr>
    </w:tbl>
    <w:p>
      <w:pPr>
        <w:pStyle w:val="Heading1"/>
      </w:pPr>
      <w:r>
        <w:t>Metodo</w:t>
      </w:r>
    </w:p>
    <w:p>
      <w:r>
        <w:t>Una “cucitura” è una contraddizione o doppia funzione che diventa comprensibile se il corpus conserva tradizioni differenti sovrapposte. Non prova da sola una falsificazione intenzionale, ma è un indicatore utile di stratificazione.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shd w:fill="D9E2F3"/>
          </w:tcPr>
          <w:p>
            <w:r>
              <w:t>Cucitura</w:t>
            </w:r>
          </w:p>
        </w:tc>
        <w:tc>
          <w:tcPr>
            <w:tcW w:type="dxa" w:w="2448"/>
            <w:shd w:fill="D9E2F3"/>
          </w:tcPr>
          <w:p>
            <w:r>
              <w:t>Strato/forma A</w:t>
            </w:r>
          </w:p>
        </w:tc>
        <w:tc>
          <w:tcPr>
            <w:tcW w:type="dxa" w:w="2448"/>
            <w:shd w:fill="D9E2F3"/>
          </w:tcPr>
          <w:p>
            <w:r>
              <w:t>Strato/forma B</w:t>
            </w:r>
          </w:p>
        </w:tc>
        <w:tc>
          <w:tcPr>
            <w:tcW w:type="dxa" w:w="2448"/>
            <w:shd w:fill="D9E2F3"/>
          </w:tcPr>
          <w:p>
            <w:r>
              <w:t>Interpretazione</w:t>
            </w:r>
          </w:p>
        </w:tc>
      </w:tr>
      <w:tr>
        <w:tc>
          <w:tcPr>
            <w:tcW w:type="dxa" w:w="2448"/>
          </w:tcPr>
          <w:p>
            <w:r>
              <w:t>Genealogia di Horus e Set</w:t>
            </w:r>
          </w:p>
        </w:tc>
        <w:tc>
          <w:tcPr>
            <w:tcW w:type="dxa" w:w="2448"/>
          </w:tcPr>
          <w:p>
            <w:r>
              <w:t>Horus e Set fratelli/rivali</w:t>
            </w:r>
          </w:p>
        </w:tc>
        <w:tc>
          <w:tcPr>
            <w:tcW w:type="dxa" w:w="2448"/>
          </w:tcPr>
          <w:p>
            <w:r>
              <w:t>Set zio di Horus perché fratello di Osiride</w:t>
            </w:r>
          </w:p>
        </w:tc>
        <w:tc>
          <w:tcPr>
            <w:tcW w:type="dxa" w:w="2448"/>
          </w:tcPr>
          <w:p>
            <w:r>
              <w:t>fusione di genealogie differenti</w:t>
            </w:r>
          </w:p>
        </w:tc>
      </w:tr>
      <w:tr>
        <w:tc>
          <w:tcPr>
            <w:tcW w:type="dxa" w:w="2448"/>
          </w:tcPr>
          <w:p>
            <w:r>
              <w:t>Ruolo di Set</w:t>
            </w:r>
          </w:p>
        </w:tc>
        <w:tc>
          <w:tcPr>
            <w:tcW w:type="dxa" w:w="2448"/>
          </w:tcPr>
          <w:p>
            <w:r>
              <w:t>protezione, forza, ascesa, cooperazione</w:t>
            </w:r>
          </w:p>
        </w:tc>
        <w:tc>
          <w:tcPr>
            <w:tcW w:type="dxa" w:w="2448"/>
          </w:tcPr>
          <w:p>
            <w:r>
              <w:t>assassino/aggressore/usurpatore</w:t>
            </w:r>
          </w:p>
        </w:tc>
        <w:tc>
          <w:tcPr>
            <w:tcW w:type="dxa" w:w="2448"/>
          </w:tcPr>
          <w:p>
            <w:r>
              <w:t>sovrapposizione del Seth antico e del Seth osiriaco</w:t>
            </w:r>
          </w:p>
        </w:tc>
      </w:tr>
      <w:tr>
        <w:tc>
          <w:tcPr>
            <w:tcW w:type="dxa" w:w="2448"/>
          </w:tcPr>
          <w:p>
            <w:r>
              <w:t>Destino del morto</w:t>
            </w:r>
          </w:p>
        </w:tc>
        <w:tc>
          <w:tcPr>
            <w:tcW w:type="dxa" w:w="2448"/>
          </w:tcPr>
          <w:p>
            <w:r>
              <w:t>N sale a Ra/stelle mantenendo il nome</w:t>
            </w:r>
          </w:p>
        </w:tc>
        <w:tc>
          <w:tcPr>
            <w:tcW w:type="dxa" w:w="2448"/>
          </w:tcPr>
          <w:p>
            <w:r>
              <w:t>“Osiride N” entra nel paradigma osiriaco</w:t>
            </w:r>
          </w:p>
        </w:tc>
        <w:tc>
          <w:tcPr>
            <w:tcW w:type="dxa" w:w="2448"/>
          </w:tcPr>
          <w:p>
            <w:r>
              <w:t>riqualificazione funeraria, non sostituzione istantanea</w:t>
            </w:r>
          </w:p>
        </w:tc>
      </w:tr>
      <w:tr>
        <w:tc>
          <w:tcPr>
            <w:tcW w:type="dxa" w:w="2448"/>
          </w:tcPr>
          <w:p>
            <w:r>
              <w:t>Horus</w:t>
            </w:r>
          </w:p>
        </w:tc>
        <w:tc>
          <w:tcPr>
            <w:tcW w:type="dxa" w:w="2448"/>
          </w:tcPr>
          <w:p>
            <w:r>
              <w:t>divinità regale autonoma</w:t>
            </w:r>
          </w:p>
        </w:tc>
        <w:tc>
          <w:tcPr>
            <w:tcW w:type="dxa" w:w="2448"/>
          </w:tcPr>
          <w:p>
            <w:r>
              <w:t>figlio, vendicatore ed erede di Osiride</w:t>
            </w:r>
          </w:p>
        </w:tc>
        <w:tc>
          <w:tcPr>
            <w:tcW w:type="dxa" w:w="2448"/>
          </w:tcPr>
          <w:p>
            <w:r>
              <w:t>ricodifica della regalità</w:t>
            </w:r>
          </w:p>
        </w:tc>
      </w:tr>
      <w:tr>
        <w:tc>
          <w:tcPr>
            <w:tcW w:type="dxa" w:w="2448"/>
          </w:tcPr>
          <w:p>
            <w:r>
              <w:t>Nefti</w:t>
            </w:r>
          </w:p>
        </w:tc>
        <w:tc>
          <w:tcPr>
            <w:tcW w:type="dxa" w:w="2448"/>
          </w:tcPr>
          <w:p>
            <w:r>
              <w:t>moglie di Set; funzione propria</w:t>
            </w:r>
          </w:p>
        </w:tc>
        <w:tc>
          <w:tcPr>
            <w:tcW w:type="dxa" w:w="2448"/>
          </w:tcPr>
          <w:p>
            <w:r>
              <w:t>ricompone Osiride e il morto osirizzato</w:t>
            </w:r>
          </w:p>
        </w:tc>
        <w:tc>
          <w:tcPr>
            <w:tcW w:type="dxa" w:w="2448"/>
          </w:tcPr>
          <w:p>
            <w:r>
              <w:t>integrazione delle funzioni funerarie nel sistema osiriaco</w:t>
            </w:r>
          </w:p>
        </w:tc>
      </w:tr>
      <w:tr>
        <w:tc>
          <w:tcPr>
            <w:tcW w:type="dxa" w:w="2448"/>
          </w:tcPr>
          <w:p>
            <w:r>
              <w:t>Giudizio</w:t>
            </w:r>
          </w:p>
        </w:tc>
        <w:tc>
          <w:tcPr>
            <w:tcW w:type="dxa" w:w="2448"/>
          </w:tcPr>
          <w:p>
            <w:r>
              <w:t>forme di giudizio/maat non esclusivamente osiriache</w:t>
            </w:r>
          </w:p>
        </w:tc>
        <w:tc>
          <w:tcPr>
            <w:tcW w:type="dxa" w:w="2448"/>
          </w:tcPr>
          <w:p>
            <w:r>
              <w:t>Osiride presiede il tribunale classico</w:t>
            </w:r>
          </w:p>
        </w:tc>
        <w:tc>
          <w:tcPr>
            <w:tcW w:type="dxa" w:w="2448"/>
          </w:tcPr>
          <w:p>
            <w:r>
              <w:t>centralizzazione tardiva della giurisdizione post mortem</w:t>
            </w:r>
          </w:p>
        </w:tc>
      </w:tr>
      <w:tr>
        <w:tc>
          <w:tcPr>
            <w:tcW w:type="dxa" w:w="2448"/>
          </w:tcPr>
          <w:p>
            <w:r>
              <w:t>Ra e Osiride</w:t>
            </w:r>
          </w:p>
        </w:tc>
        <w:tc>
          <w:tcPr>
            <w:tcW w:type="dxa" w:w="2448"/>
          </w:tcPr>
          <w:p>
            <w:r>
              <w:t>ascesa solare/stellare</w:t>
            </w:r>
          </w:p>
        </w:tc>
        <w:tc>
          <w:tcPr>
            <w:tcW w:type="dxa" w:w="2448"/>
          </w:tcPr>
          <w:p>
            <w:r>
              <w:t>aldilà osiriaco</w:t>
            </w:r>
          </w:p>
        </w:tc>
        <w:tc>
          <w:tcPr>
            <w:tcW w:type="dxa" w:w="2448"/>
          </w:tcPr>
          <w:p>
            <w:r>
              <w:t>coesistenza e armonizzazione di paradigmi</w:t>
            </w:r>
          </w:p>
        </w:tc>
      </w:tr>
    </w:tbl>
    <w:p>
      <w:pPr>
        <w:pStyle w:val="Heading1"/>
      </w:pPr>
      <w:r>
        <w:t>Conclusione probatoria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2F2F2"/>
          </w:tcPr>
          <w:p>
            <w:r>
              <w:rPr>
                <w:b/>
              </w:rPr>
              <w:t xml:space="preserve">Tesi B — </w:t>
            </w:r>
            <w:r>
              <w:t>Il corpus non è perfettamente coerente perché conserva materiali di epoche e ambienti diversi. Le incongruenze, lette cronologicamente, sostengono l’idea di una ristrutturazione progressiva della mitologia e dell’aldilà attorno a Osiride.</w:t>
            </w:r>
          </w:p>
        </w:tc>
      </w:tr>
    </w:tbl>
    <w:p>
      <w:pPr>
        <w:pStyle w:val="Heading1"/>
      </w:pPr>
      <w:r>
        <w:t>Limite metodologico</w:t>
      </w:r>
    </w:p>
    <w:p>
      <w:r>
        <w:t>Le cuciture dimostrano stratificazione e rielaborazione; non dimostrano da sole che un singolo agente storico abbia deliberatamente “falsificato” la tradizione. La tesi dell’intenzionalità deve essere trattata come inferenza e valutata con dati politici, cultuali e istituzionali.</w:t>
      </w:r>
    </w:p>
    <w:p>
      <w:pPr>
        <w:pStyle w:val="Heading1"/>
      </w:pPr>
      <w:r>
        <w:t>Riferimenti essenziali</w:t>
      </w:r>
    </w:p>
    <w:p>
      <w:pPr>
        <w:pStyle w:val="ListBullet"/>
      </w:pPr>
      <w:r>
        <w:rPr>
          <w:b/>
        </w:rPr>
        <w:t xml:space="preserve">Allen, James P., The Ancient Egyptian Pyramid Texts. Society of Biblical Literature, 2005/2006. </w:t>
      </w:r>
      <w:r>
        <w:t>https://openlibrary.org/books/OL22723869M/The_ancient_Egyptian_pyramid_texts</w:t>
      </w:r>
    </w:p>
    <w:p>
      <w:pPr>
        <w:pStyle w:val="ListBullet"/>
      </w:pPr>
      <w:r>
        <w:rPr>
          <w:b/>
        </w:rPr>
        <w:t xml:space="preserve">Smith, Mark, Following Osiris: Perspectives on the Osirian Afterlife from Four Millennia. Oxford University Press, 2017. </w:t>
      </w:r>
      <w:r>
        <w:t>https://academic.oup.com/book/6025</w:t>
      </w:r>
    </w:p>
    <w:p>
      <w:pPr>
        <w:pStyle w:val="ListBullet"/>
      </w:pPr>
      <w:r>
        <w:rPr>
          <w:b/>
        </w:rPr>
        <w:t xml:space="preserve">Mathieu, Bernard, Horus : polysémie et métamorphoses. ENiM 6 (2013), pp. 1–26. </w:t>
      </w:r>
      <w:r>
        <w:t>https://www.enim-egyptologie.fr/revue/2013/1/Mathieu_ENIM6_p1-26.pdf</w:t>
      </w:r>
    </w:p>
    <w:p>
      <w:pPr>
        <w:pStyle w:val="ListBullet"/>
      </w:pPr>
      <w:r>
        <w:rPr>
          <w:b/>
        </w:rPr>
        <w:t xml:space="preserve">Turner, Philip John, Seth – A Misrepresented God in the Ancient Egyptian Pantheon?. University of Manchester PhD, 2012. </w:t>
      </w:r>
      <w:r>
        <w:t>https://research.manchester.ac.uk/en/studentTheses/seth-a-misrepresented-god-in-the-ancient-egyptian-pantheon/</w:t>
      </w:r>
    </w:p>
    <w:p>
      <w:pPr>
        <w:pStyle w:val="ListBullet"/>
      </w:pPr>
      <w:r>
        <w:rPr>
          <w:b/>
        </w:rPr>
        <w:t xml:space="preserve">UCL Digital Egypt, Ancient Egyptian religious and funerary texts. University College London. </w:t>
      </w:r>
      <w:r>
        <w:t>https://www.ucl.ac.uk/museums-static/digitalegypt/</w:t>
      </w:r>
    </w:p>
    <w:p>
      <w:pPr>
        <w:pStyle w:val="ListBullet"/>
      </w:pPr>
      <w:r>
        <w:rPr>
          <w:b/>
        </w:rPr>
        <w:t xml:space="preserve">The Metropolitan Museum of Art, Egyptian art and religion essays/collection notes. The Met. </w:t>
      </w:r>
      <w:r>
        <w:t>https://www.metmuseum.org/art/collection</w:t>
      </w:r>
    </w:p>
    <w:sectPr w:rsidR="00FC693F" w:rsidRPr="0006063C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Le cuciture della riscrittura — Set the Truth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vidence">
    <w:name w:val="Evidence"/>
    <w:rPr>
      <w:rFonts w:ascii="Aptos" w:hAnsi="Aptos"/>
      <w:i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