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Ipotesi cosmologica</w:t>
      </w:r>
    </w:p>
    <w:p>
      <w:pPr>
        <w:jc w:val="center"/>
      </w:pPr>
      <w:r>
        <w:rPr>
          <w:i/>
          <w:sz w:val="22"/>
        </w:rPr>
        <w:t>Modello speculativo separato dalla dimostrazione storico-filologica</w:t>
      </w:r>
    </w:p>
    <w:p>
      <w:pPr>
        <w:jc w:val="center"/>
      </w:pPr>
      <w:r>
        <w:rPr>
          <w:sz w:val="18"/>
        </w:rPr>
        <w:t>Edizione di lavoro — 6 settembre 2026</w:t>
      </w:r>
    </w:p>
    <w:p/>
    <w:p>
      <w:pPr>
        <w:pStyle w:val="Heading1"/>
      </w:pPr>
      <w:r>
        <w:t>Legenda dei livelli di evidenza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Livello</w:t>
            </w:r>
          </w:p>
        </w:tc>
        <w:tc>
          <w:tcPr>
            <w:tcW w:type="dxa" w:w="4896"/>
            <w:shd w:fill="D9E2F3"/>
          </w:tcPr>
          <w:p>
            <w:r>
              <w:t>Uso nel documento</w:t>
            </w:r>
          </w:p>
        </w:tc>
      </w:tr>
      <w:tr>
        <w:tc>
          <w:tcPr>
            <w:tcW w:type="dxa" w:w="4896"/>
          </w:tcPr>
          <w:p>
            <w:r>
              <w:t>A — attestato</w:t>
            </w:r>
          </w:p>
        </w:tc>
        <w:tc>
          <w:tcPr>
            <w:tcW w:type="dxa" w:w="4896"/>
          </w:tcPr>
          <w:p>
            <w:r>
              <w:t>Dato direttamente documentato da testi, archeologia o studi egittologici affidabili.</w:t>
            </w:r>
          </w:p>
        </w:tc>
      </w:tr>
      <w:tr>
        <w:tc>
          <w:tcPr>
            <w:tcW w:type="dxa" w:w="4896"/>
          </w:tcPr>
          <w:p>
            <w:r>
              <w:t>B — ricostruzione</w:t>
            </w:r>
          </w:p>
        </w:tc>
        <w:tc>
          <w:tcPr>
            <w:tcW w:type="dxa" w:w="4896"/>
          </w:tcPr>
          <w:p>
            <w:r>
              <w:t>Inferenza storico-filologica costruita confrontando cronologia, varianti e stratificazione delle fonti.</w:t>
            </w:r>
          </w:p>
        </w:tc>
      </w:tr>
      <w:tr>
        <w:tc>
          <w:tcPr>
            <w:tcW w:type="dxa" w:w="4896"/>
          </w:tcPr>
          <w:p>
            <w:r>
              <w:t>C — ipotesi cosmologica</w:t>
            </w:r>
          </w:p>
        </w:tc>
        <w:tc>
          <w:tcPr>
            <w:tcW w:type="dxa" w:w="4896"/>
          </w:tcPr>
          <w:p>
            <w:r>
              <w:t>Interpretazione metafisica o cosmologica: non presentata come fatto storico dimostrato.</w:t>
            </w:r>
          </w:p>
        </w:tc>
      </w:tr>
    </w:tbl>
    <w:p>
      <w:pPr>
        <w:pStyle w:val="Heading1"/>
      </w:pPr>
      <w:r>
        <w:t>Avvertenza metodologica</w:t>
      </w:r>
    </w:p>
    <w:p>
      <w:r>
        <w:t>Questo documento raccoglie esclusivamente il livello C del progetto. Le corrispondenze con i testi egizi sono utilizzate come elementi di confronto, non come prova scientifica di civiltà extraterrestri, dimensioni superiori o tecnologie post mortem.</w:t>
      </w:r>
    </w:p>
    <w:p>
      <w:pPr>
        <w:pStyle w:val="Heading1"/>
      </w:pPr>
      <w:r>
        <w:t>1. Scenario</w:t>
      </w:r>
    </w:p>
    <w:p>
      <w:r>
        <w:t>[C] Una civiltà originaria avrebbe creato o modificato l’essere umano e gestito la continuità post mortem attraverso un processo di ricomposizione delle componenti personali. La destinazione ultima viene ipotizzata come un livello cosmico superiore, denominato nel progetto Pleroma/nona dimensione.</w:t>
      </w:r>
    </w:p>
    <w:p>
      <w:pPr>
        <w:pStyle w:val="Heading1"/>
      </w:pPr>
      <w:r>
        <w:t>2. Sistema originario</w:t>
      </w:r>
    </w:p>
    <w:p>
      <w:r>
        <w:t>[C] Horus e Set sono interpretati come potenze funzionali del sistema; Nefti come agente di ricomposizione; Ra come riferimento del destino celeste. Il sistema non richiede un sovrano unico dell’aldilà.</w:t>
      </w:r>
    </w:p>
    <w:p>
      <w:pPr>
        <w:pStyle w:val="Heading1"/>
      </w:pPr>
      <w:r>
        <w:t>3. Intervento osiriaco</w:t>
      </w:r>
    </w:p>
    <w:p>
      <w:r>
        <w:t>[C] Osiride viene interpretato come potenza concorrente che, dopo lo scontro con Set, ottiene controllo non necessariamente attraverso la vittoria militare ma attraverso la ristrutturazione del ciclo morte–rigenerazione e della legittimità dinastica.</w:t>
      </w:r>
    </w:p>
    <w:p>
      <w:pPr>
        <w:pStyle w:val="Heading1"/>
      </w:pPr>
      <w:r>
        <w:t>4. Il doppio dominio</w:t>
      </w:r>
    </w:p>
    <w:p>
      <w:r>
        <w:t>[C] La nuova architettura ipotizzata è: Osiride governa il dominio dei morti; Iside assicura la trasmissione della linea; Horus, ridefinito come figlio/erede, porta la nuova legittimità nel mondo dei vivi. Set viene escluso dal sistema o trasformato nel suo nemico.</w:t>
      </w:r>
    </w:p>
    <w:p>
      <w:pPr>
        <w:pStyle w:val="Heading1"/>
      </w:pPr>
      <w:r>
        <w:t>5. La metafora di Otello</w:t>
      </w:r>
    </w:p>
    <w:p>
      <w:r>
        <w:t>[C/B] N mantiene il proprio identificatore ma diventa “Osiride N”: nella metafora, la pedina mantiene il nome ma cambia campo. La documentazione sostiene la formula rituale; l’interpretazione come “cambio di proprietà” appartiene al modello cosmologico.</w:t>
      </w:r>
    </w:p>
    <w:p>
      <w:pPr>
        <w:pStyle w:val="Heading1"/>
      </w:pPr>
      <w:r>
        <w:t>6. Predizioni verificabili</w:t>
      </w:r>
    </w:p>
    <w:p>
      <w:pPr>
        <w:pStyle w:val="ListBullet"/>
      </w:pPr>
      <w:r>
        <w:t>Dovrebbero esistere tracce testuali di un sistema post mortem funzionale prima della centralità di Osiride — dato già documentato.</w:t>
      </w:r>
    </w:p>
    <w:p>
      <w:pPr>
        <w:pStyle w:val="ListBullet"/>
      </w:pPr>
      <w:r>
        <w:t>Dovrebbero sopravvivere funzioni positive di Set incompatibili con la sua demonizzazione — dato documentato.</w:t>
      </w:r>
    </w:p>
    <w:p>
      <w:pPr>
        <w:pStyle w:val="ListBullet"/>
      </w:pPr>
      <w:r>
        <w:t>Dovrebbero emergere contraddizioni genealogiche durante la transizione — dato documentato.</w:t>
      </w:r>
    </w:p>
    <w:p>
      <w:pPr>
        <w:pStyle w:val="ListBullet"/>
      </w:pPr>
      <w:r>
        <w:t>Dovrebbe essere possibile mostrare una crescita cronologica della mediazione osiriaca e della giustificazione — in buona parte documentata.</w:t>
      </w:r>
    </w:p>
    <w:p>
      <w:pPr>
        <w:pStyle w:val="ListBullet"/>
      </w:pPr>
      <w:r>
        <w:t>Le affermazioni extraterrestri o dimensionali richiederebbero invece evidenze indipendenti, oggi non fornite dai testi egizi.</w:t>
      </w:r>
    </w:p>
    <w:p>
      <w:pPr>
        <w:pStyle w:val="Heading1"/>
      </w:pPr>
      <w:r>
        <w:t>Riferimenti essenziali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Ipotesi cosmologica — Set the Truth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